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9B523">
      <w:pPr>
        <w:pStyle w:val="14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滚财悦享商城积分商城运营方案</w:t>
      </w:r>
    </w:p>
    <w:p w14:paraId="3C4863DB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本方案旨在将现有推广公众号升级为专属商城公众号，以平台商城模式承载各保险客户业务，通过积分兑换、引导关注、活动运营与分享推荐等方式增强用户粘性，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首先以承载保险业务</w:t>
      </w:r>
      <w:r>
        <w:rPr>
          <w:rFonts w:ascii="Times New Roman" w:hAnsi="Times New Roman" w:eastAsia="宋体"/>
          <w:b w:val="0"/>
          <w:color w:val="000000"/>
          <w:sz w:val="24"/>
        </w:rPr>
        <w:t>客户精准营销，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其次为自营商城奠定良好的用户基础，最终达成</w:t>
      </w:r>
      <w:r>
        <w:rPr>
          <w:rFonts w:ascii="Times New Roman" w:hAnsi="Times New Roman" w:eastAsia="宋体"/>
          <w:b w:val="0"/>
          <w:color w:val="000000"/>
          <w:sz w:val="24"/>
        </w:rPr>
        <w:t>反向推广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保司保险产品促成交收取推广费或者广告费的目标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6B3D0EEE">
      <w:pPr>
        <w:pStyle w:val="2"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一、平台定位与公众号基础建设</w:t>
      </w:r>
    </w:p>
    <w:p w14:paraId="2F98EFA4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（一）平台定位</w:t>
      </w:r>
    </w:p>
    <w:p w14:paraId="500F6AB4"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采用平台商城模式运营：以“滚财悦享商城”为平台商城，内部不同业务客户作为不同商户，通过单一平台承载所有商户的各类商品。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参照图《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"_附件六：平台概念图"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 w:eastAsia="宋体"/>
          <w:b w:val="0"/>
          <w:sz w:val="24"/>
          <w:lang w:val="en-US" w:eastAsia="zh-CN"/>
        </w:rPr>
        <w:t>附件六：平台概念图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4D34D2B3"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平台内部可根据不同客户群体制作不同客户页面，并根据不同活动码实现差异化的注册或领取积分逻辑；购买、兑换统一使用滚财悦享商城的购买兑换逻辑。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兑换购买流程参照《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"_附件七：平台购买兑换流程图"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8"/>
          <w:rFonts w:hint="eastAsia" w:ascii="Times New Roman" w:hAnsi="Times New Roman" w:eastAsia="宋体"/>
          <w:b w:val="0"/>
          <w:sz w:val="24"/>
          <w:lang w:val="en-US" w:eastAsia="zh-CN"/>
        </w:rPr>
        <w:t>附件七：平台购买兑换流程图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62BF3F2C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各商城特定的授权等私有平台逻辑，置于进入各客户商城业务首页之前。</w:t>
      </w:r>
    </w:p>
    <w:p w14:paraId="6C9B10E3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明确运营公司与公众号主体：目前滚财保的运营类目存在限制，需确定合适的运营主体承载平台运营。</w:t>
      </w:r>
    </w:p>
    <w:p w14:paraId="21B0D0B7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（二）公众号基础信息完善</w:t>
      </w:r>
    </w:p>
    <w:p w14:paraId="5849CBE6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将推广公众号升级为专属商城公众号，名称更换为“滚财悦享生活”，公众号简介设定为“商城运营服务平台”。</w:t>
      </w:r>
    </w:p>
    <w:p w14:paraId="35D43E65">
      <w:pPr>
        <w:spacing w:before="0" w:after="0" w:line="360" w:lineRule="auto"/>
        <w:ind w:firstLine="480" w:firstLineChars="200"/>
        <w:jc w:val="both"/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郑州、常州已开展的兑换模式，现阶段使用滚财承接消费券与兑换类服务，运营上述两个客户的专属业务。</w:t>
      </w:r>
    </w:p>
    <w:p w14:paraId="5738E8AB"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改造公众号菜单为引导用户领取积分、兑换商品的菜单名称，用户点击下方菜单即可进入商品兑换页或商城首页。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公众号首页菜单项参照《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"_附件五：首页功能分区设计草图"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 w:eastAsia="宋体"/>
          <w:b w:val="0"/>
          <w:sz w:val="24"/>
          <w:lang w:val="en-US" w:eastAsia="zh-CN"/>
        </w:rPr>
        <w:t>附件五：首页功能分区设计草图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13669DC7">
      <w:pPr>
        <w:pStyle w:val="2"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二、引导关注与用户引流</w:t>
      </w:r>
    </w:p>
    <w:p w14:paraId="50ECE42E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（一）引导关注公众号的方式</w:t>
      </w:r>
    </w:p>
    <w:p w14:paraId="175F0A95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1. 活动二维码引导关注</w:t>
      </w:r>
    </w:p>
    <w:p w14:paraId="2C72F234"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制作引导关注的活动二维码，用户扫码关注公众号后，立即推送消息，点击进入即可进行权益消费或积分兑换。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参照《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"_（一）附件一：引导关注公众号流程"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 w:eastAsia="宋体"/>
          <w:b w:val="0"/>
          <w:sz w:val="24"/>
          <w:lang w:val="en-US" w:eastAsia="zh-CN"/>
        </w:rPr>
        <w:t>附件一：引导关注公众号流程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067CBAD8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每个活动码携带活动来源与客户来源信息（包括地区、昵称、手机号及来源，即活动ID或代码等），跳转至不同功能页面进行购买或兑换服务。例如郑州“盛夏守护”“感恩有礼”活动，客户扫码授权后需记录客户ID与活动ID或代码，传递至H5首页保存使用。</w:t>
      </w:r>
    </w:p>
    <w:p w14:paraId="707E73AB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如客户有特殊要求，可加入声明提示；如业务需要，由业务方提出公告内容，并携带“扫码关注得积分”的功能分支，可关注可不关注，不强制引导消费者关注公众号。例如人保活动中加入用户知情书，其中携带用户关注的可选项。</w:t>
      </w:r>
    </w:p>
    <w:p w14:paraId="43D5DF3E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2. 分享引流引导关注</w:t>
      </w:r>
    </w:p>
    <w:p w14:paraId="123C1202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用户转发当前商城页面时，根据转发来源拼装转发链接。</w:t>
      </w:r>
    </w:p>
    <w:p w14:paraId="0F6083D5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通过记录的转发来源引导用户关注公众号，或直接生成对应客户的活动海报，用户扫描关注后跳转至对应客户的商城积分兑换页。例如用户接受分享后，点击弹出对应的活动扫码页面。</w:t>
      </w:r>
    </w:p>
    <w:p w14:paraId="6326625E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3. 关注送积分活动</w:t>
      </w:r>
    </w:p>
    <w:p w14:paraId="14A3BB1B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设置关注送积分活动，确保用户关注后能兑换一份小礼品。例如实物类：维达小雏菊抽纸（GCKJ228，成本9.9元）；虚拟类：美团外卖5元代金券（GCKJ020，成本4.2元）。</w:t>
      </w:r>
    </w:p>
    <w:p w14:paraId="5EF75482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可参照智荟生活问卷调查形式（涉及合作业务方调查与最后一题扫码关注），设计成关注引流的活动页。</w:t>
      </w:r>
    </w:p>
    <w:p w14:paraId="21773A91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（二）日常签到与用户留存</w:t>
      </w:r>
    </w:p>
    <w:p w14:paraId="220CCC4C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设置每日签到领积分，连续签到五天可领取100积分，并告知用户100积分可兑换的产品，引导用户持续关注本公众号的活动信息。</w:t>
      </w:r>
    </w:p>
    <w:p w14:paraId="5D4EB72D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每日推送参与用户的打卡提醒消息，连续打卡满五天后，赠送可兑换一份礼品的积分。</w:t>
      </w:r>
    </w:p>
    <w:p w14:paraId="502D1317"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领取积分页面展示可兑换商品，点击跳转至相应兑换页和特定商品（如美团外卖5元券、话费充值等具有吸引力的兑换品），并告知活动进程与可兑换礼品详情。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参照：《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"_附件四：其他平台签到活动参照图"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8"/>
          <w:rFonts w:hint="eastAsia" w:ascii="Times New Roman" w:hAnsi="Times New Roman" w:eastAsia="宋体"/>
          <w:b w:val="0"/>
          <w:sz w:val="24"/>
          <w:lang w:val="en-US" w:eastAsia="zh-CN"/>
        </w:rPr>
        <w:t>附件四：其他平台签到活动参照图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0FB8B700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（三）积分商城首页功能分区</w:t>
      </w:r>
    </w:p>
    <w:p w14:paraId="13EBB65C">
      <w:pPr>
        <w:spacing w:before="0" w:after="0" w:line="360" w:lineRule="auto"/>
        <w:ind w:firstLine="480" w:firstLineChars="200"/>
        <w:jc w:val="both"/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首页功能分区明确、简洁、明了（可参照华荟商城等成熟商城的首页分区布局），按功能模块划分并持续优化，具体以设计稿为准。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参照《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"_附件五：首页功能分区设计草图"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 w:eastAsia="宋体"/>
          <w:b w:val="0"/>
          <w:sz w:val="24"/>
          <w:lang w:val="en-US" w:eastAsia="zh-CN"/>
        </w:rPr>
        <w:t>附件五：首页功能分区设计草图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453E1F5A">
      <w:pPr>
        <w:pStyle w:val="2"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三、推广运营方案</w:t>
      </w:r>
    </w:p>
    <w:p w14:paraId="18D162FA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（一）积分活动策划</w:t>
      </w:r>
    </w:p>
    <w:p w14:paraId="50026D32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以积分兑换商品为核心，策划获取积分的活动并投放于自有商户页面的商城活动宣传区，例如抽奖赢积分、积分兑换商品、重大节假日活动等，持续留住已吸引的客户群体。</w:t>
      </w:r>
    </w:p>
    <w:p w14:paraId="5C22BDB2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活动需耗费一定资金成本，按用户量测算，每关注用户投入约4-5元，需寻找更便宜的第三方商品供应商。</w:t>
      </w:r>
    </w:p>
    <w:p w14:paraId="4817DBCD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根据已对接商家筛选可赠送积分兑换的商品，做成市场调查问卷等获得积分即可兑换小礼品的活动。</w:t>
      </w:r>
    </w:p>
    <w:p w14:paraId="1DC600B8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每周制作一个可领取的活动页面并进行推送，配合推文进行活动告知，吸引客户阅读并进入商城领取积分，增强客户粘性。</w:t>
      </w:r>
    </w:p>
    <w:p w14:paraId="7902E0E9">
      <w:pPr>
        <w:spacing w:before="0" w:after="0" w:line="360" w:lineRule="auto"/>
        <w:ind w:firstLine="480" w:firstLineChars="200"/>
        <w:jc w:val="both"/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独立制作各业务客户的专属调查问卷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收集相关投保信息</w:t>
      </w:r>
      <w:r>
        <w:rPr>
          <w:rFonts w:ascii="Times New Roman" w:hAnsi="Times New Roman" w:eastAsia="宋体"/>
          <w:b w:val="0"/>
          <w:color w:val="000000"/>
          <w:sz w:val="24"/>
        </w:rPr>
        <w:t>，加入续保意愿等维度，将调查数据返回给各保险客户，帮助其精准营销、提前筛选。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参照《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begin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instrText xml:space="preserve"> HYPERLINK \l "_附件三：参照的华荟调查问卷活动" </w:instrTex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separate"/>
      </w:r>
      <w:r>
        <w:rPr>
          <w:rStyle w:val="18"/>
          <w:rFonts w:hint="eastAsia" w:ascii="Times New Roman" w:hAnsi="Times New Roman" w:eastAsia="宋体"/>
          <w:b w:val="0"/>
          <w:sz w:val="24"/>
          <w:lang w:val="en-US" w:eastAsia="zh-CN"/>
        </w:rPr>
        <w:t>附件三：参照的华荟调查问卷活动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fldChar w:fldCharType="end"/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》</w:t>
      </w:r>
    </w:p>
    <w:p w14:paraId="25F292FB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（二）商品分享推荐激励</w:t>
      </w:r>
    </w:p>
    <w:p w14:paraId="3592C0AC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推荐分享得积分：客户推荐好友，好友注册并产生真实消费后，推荐人可获得商城积分用于商品购买兑换。</w:t>
      </w:r>
    </w:p>
    <w:p w14:paraId="364FF836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推荐商城内购买商品可获得收益积分，积分可兑换商城内商品。</w:t>
      </w:r>
    </w:p>
    <w:p w14:paraId="7B0E4011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注：推荐奖励仅设一级，与“积分商城活动合规条款”保持一致，不支持二级及以上层级奖励。</w:t>
      </w:r>
    </w:p>
    <w:p w14:paraId="1DF39AFA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（三）客服体系完善</w:t>
      </w:r>
    </w:p>
    <w:p w14:paraId="58E1606C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完善客服团队，覆盖电话咨询与投诉类事件的处理；客服电话安排专人接听处理。</w:t>
      </w:r>
    </w:p>
    <w:p w14:paraId="5AE60E44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（四）保险类产品反向推广</w:t>
      </w:r>
    </w:p>
    <w:p w14:paraId="7D5CBAAD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在保险客户积分商城运营顺利、用户量达到一定规模后，可反向推广保险产品；通过我方推广促成的交易，客户返还积分用于兑换商品。</w:t>
      </w:r>
    </w:p>
    <w:p w14:paraId="6DFBF381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合作模式：保险公司仅通过支付推广服务费给我方，我方以技术服务费形式收取费用；商品与第三方商品供应商由我方对接。</w:t>
      </w:r>
    </w:p>
    <w:p w14:paraId="6B816420">
      <w:pPr>
        <w:pStyle w:val="2"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四、积分商城运营要点</w:t>
      </w:r>
    </w:p>
    <w:p w14:paraId="790BE5C7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（一）运营成功关键点</w:t>
      </w:r>
    </w:p>
    <w:p w14:paraId="2840291B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1. 积分要有“价值出口”</w:t>
      </w:r>
    </w:p>
    <w:p w14:paraId="134FD7F3">
      <w:pPr>
        <w:spacing w:before="0" w:after="0" w:line="360" w:lineRule="auto"/>
        <w:ind w:firstLine="480" w:firstLineChars="20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光发积分没有意义，若商品单一、兑换门槛过高，积分就会沉睡；兑换率低于60%基本视为不合格。</w:t>
      </w:r>
    </w:p>
    <w:p w14:paraId="384E5209">
      <w:pPr>
        <w:spacing w:before="0" w:after="0" w:line="360" w:lineRule="auto"/>
        <w:ind w:firstLine="480" w:firstLineChars="20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同时积分也要寻找积分入口，积分如何发送，什么样的第三方来支撑积分的入口？？从业务寻找可兑换或者可转换的积分业务逻辑。？？</w:t>
      </w:r>
    </w:p>
    <w:p w14:paraId="592505E4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2. 商品结构分层</w:t>
      </w:r>
    </w:p>
    <w:p w14:paraId="0CB780D4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普遍采用“631法则”，即60%高频刚需品（纸巾、粮油）、25%需要努力一下才能兑换的商品（小家电）、15%高价值标杆商品（戴森、高端数码等）。</w:t>
      </w:r>
    </w:p>
    <w:p w14:paraId="74139228">
      <w:pPr>
        <w:pStyle w:val="4"/>
        <w:spacing w:before="180" w:after="80"/>
      </w:pPr>
      <w:r>
        <w:rPr>
          <w:rFonts w:ascii="Times New Roman" w:hAnsi="Times New Roman" w:eastAsia="黑体"/>
          <w:b/>
          <w:color w:val="000000"/>
          <w:sz w:val="24"/>
        </w:rPr>
        <w:t>3. 持续运营比搭建更重要</w:t>
      </w:r>
    </w:p>
    <w:p w14:paraId="4DC3BE75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定期上新、限时活动、节点主题，避免上线后无人运营，否则用户热情约三个月后就会衰减。</w:t>
      </w:r>
    </w:p>
    <w:p w14:paraId="5C3C5905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（二）商品与权益结构</w:t>
      </w:r>
      <w:bookmarkStart w:id="6" w:name="_GoBack"/>
      <w:bookmarkEnd w:id="6"/>
    </w:p>
    <w:p w14:paraId="37F77EE5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60%虚拟权益：话费、视频会员、各类卡券（兑换成本可控、基本无售后）。</w:t>
      </w:r>
    </w:p>
    <w:p w14:paraId="770BB636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30%平价小件：水杯、收纳、零食（感知度高、兑换门槛低）。</w:t>
      </w:r>
    </w:p>
    <w:p w14:paraId="0AE20CD5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10%少量大件小家电：作为高积分目标奖品，控制库存数量，减少售后纠纷。</w:t>
      </w:r>
    </w:p>
    <w:p w14:paraId="574E326F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可选增加自有商品：门店优惠券、品牌周边。</w:t>
      </w:r>
    </w:p>
    <w:p w14:paraId="44D90D9D">
      <w:pPr>
        <w:pStyle w:val="2"/>
        <w:spacing w:before="280" w:after="120"/>
      </w:pPr>
      <w:r>
        <w:rPr>
          <w:rFonts w:ascii="Times New Roman" w:hAnsi="Times New Roman" w:eastAsia="黑体"/>
          <w:b/>
          <w:color w:val="000000"/>
          <w:sz w:val="32"/>
        </w:rPr>
        <w:t>五、积分商城活动合规条款（推荐活动规则）</w:t>
      </w:r>
    </w:p>
    <w:p w14:paraId="7B1C8AA5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（一）推荐活动总则</w:t>
      </w:r>
    </w:p>
    <w:p w14:paraId="614F7A97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滚财悦享商城（下称“平台”）推出会员推荐奖励活动，为本平台现有会员消费回馈福利，不属于分销、代理、加盟、招商、合伙人收益；本活动仅用于老会员分享平台，鼓励真实用户注册及消费，不以发展人员、拉人头为目的。</w:t>
      </w:r>
    </w:p>
    <w:p w14:paraId="34FFEFFD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参与推荐活动完全免费，会员无需购买商品、付费升级、购买礼包即可获得推荐资格，不存在入门费。</w:t>
      </w:r>
    </w:p>
    <w:p w14:paraId="3F125434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推荐奖励仅设一级奖励：推荐人仅可获得被推荐人产生有效消费对应的积分奖励；被推荐人后续再推荐其他新用户（下线的下线），推荐人不再获得任何积分、奖金、团队奖励、管理奖励、培育奖励等任何形式收益。平台系统底层不支持二级及以上层级奖励。</w:t>
      </w:r>
    </w:p>
    <w:p w14:paraId="11FD6488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（二）推荐奖励发放规则</w:t>
      </w:r>
    </w:p>
    <w:p w14:paraId="34730540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奖励标的：活动奖励仅发放平台积分。积分仅可在本积分商城兑换实物商品或虚拟权益，不具备现金价值，不可提现、不可转账、不可买卖、不可折现，不能作为货币流通。</w:t>
      </w:r>
    </w:p>
    <w:p w14:paraId="5DEFABE8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奖励触发条件：被推荐人完成账号注册后，必须产生真实有效订单并完成确认收货（订单售后期满，无退款退货），推荐人方可获得对应积分；仅注册、未产生真实消费，不发放推荐积分。</w:t>
      </w:r>
    </w:p>
    <w:p w14:paraId="7CC5B4AA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积分发放比例：推荐积分以平台后台公示为准，平台有权在提前告知前提下调整积分规则。</w:t>
      </w:r>
    </w:p>
    <w:p w14:paraId="276357AF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订单退款处理：若被推荐人订单发生全额退款或退货，平台有权收回本次已发放给推荐人的积分；积分已用于兑换商品的，平台有权做相应扣减或取消兑换订单。</w:t>
      </w:r>
    </w:p>
    <w:p w14:paraId="0B77D786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（三）用户行为约束（重点风控）</w:t>
      </w:r>
    </w:p>
    <w:p w14:paraId="7FE6709F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禁止使用外挂、批量注册、手机号养号、虚假下单、刷单、多账号互推等作弊手段套取积分。一经核查，平台有权冻结账号、扣回违规积分、取消兑换资格，并保留追究法律责任的权利。</w:t>
      </w:r>
    </w:p>
    <w:p w14:paraId="197E9D33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会员不得对外宣称本推荐活动为赚钱项目、副业、代理、合伙人、佣金分成、躺赚收益等；不得夸大宣传收益，不得诱导他人为获取推荐奖励而非理性消费。</w:t>
      </w:r>
    </w:p>
    <w:p w14:paraId="7A624692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会员不得以推荐名义收取他人费用、保证金、培训费、代理费，一经发现，平台直接取消会员资格。</w:t>
      </w:r>
    </w:p>
    <w:p w14:paraId="0B2EA044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（四）积分通用约定</w:t>
      </w:r>
    </w:p>
    <w:p w14:paraId="6B0EA526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积分是平台赠与会员的消费回馈福利，不属于用户资产。平台拥有积分规则的解释权。</w:t>
      </w:r>
    </w:p>
    <w:p w14:paraId="500C0FD7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积分设置有效期，过期自动清零（自获取之日起【12】个月有效）。</w:t>
      </w:r>
    </w:p>
    <w:p w14:paraId="068608EA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平台可根据经营情况调整积分获取、消耗规则，调整前将在积分商城公示。</w:t>
      </w:r>
    </w:p>
    <w:p w14:paraId="47D72973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合作终止、账号注销时，未使用积分自动失效，不予折现、不予补偿。</w:t>
      </w:r>
    </w:p>
    <w:p w14:paraId="3C1926A8">
      <w:pPr>
        <w:pStyle w:val="3"/>
        <w:spacing w:before="220" w:after="100"/>
      </w:pPr>
      <w:r>
        <w:rPr>
          <w:rFonts w:ascii="Times New Roman" w:hAnsi="Times New Roman" w:eastAsia="黑体"/>
          <w:b/>
          <w:color w:val="000000"/>
          <w:sz w:val="28"/>
        </w:rPr>
        <w:t>（五）免责与提示</w:t>
      </w:r>
    </w:p>
    <w:p w14:paraId="64A38BED"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要提示：本活动为会员福利活动，不存在多层级计酬、团队分红；所有奖励仅限平台积分兑换商品，不存在任何现金收益；用户参与活动，不得利用本活动从事传销、拉人头、非法集资、虚假宣传等违法违规行为。</w:t>
      </w:r>
    </w:p>
    <w:p w14:paraId="11E9B55C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配套：商城页面简短摘要版（置于积分商城“推荐好友”活动页，供用户一眼看懂）：</w:t>
      </w:r>
    </w:p>
    <w:p w14:paraId="0F03737F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推荐好友，拿积分奖励</w:t>
      </w:r>
    </w:p>
    <w:p w14:paraId="13DC1EE1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免费参与，不用花钱解锁推荐资格</w:t>
      </w:r>
    </w:p>
    <w:p w14:paraId="7E43807B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好友注册并真实消费确认收货后，你可获得积分</w:t>
      </w:r>
    </w:p>
    <w:p w14:paraId="335404D1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仅一级奖励：好友再推荐其他人，你不再拿任何奖励</w:t>
      </w:r>
    </w:p>
    <w:p w14:paraId="01DE2E60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积分仅可兑换商城商品，不能提现、不能转账</w:t>
      </w:r>
    </w:p>
    <w:p w14:paraId="1F516BE1">
      <w:pPr>
        <w:spacing w:before="0" w:after="0" w:line="360" w:lineRule="auto"/>
        <w:ind w:left="3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虚假注册、刷单套积分，平台有权收回积分并冻结账号</w:t>
      </w:r>
    </w:p>
    <w:p w14:paraId="6AFA430F">
      <w:pPr>
        <w:spacing w:before="0" w:after="0" w:line="360" w:lineRule="auto"/>
        <w:ind w:left="360"/>
        <w:jc w:val="left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积分有有效期，过期自动失效</w:t>
      </w:r>
    </w:p>
    <w:p w14:paraId="61EAE8BF">
      <w:pPr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br w:type="page"/>
      </w:r>
    </w:p>
    <w:p w14:paraId="1C67D6C0">
      <w:pPr>
        <w:spacing w:before="0" w:after="0" w:line="360" w:lineRule="auto"/>
        <w:ind w:left="360"/>
        <w:jc w:val="left"/>
        <w:rPr>
          <w:rFonts w:ascii="Times New Roman" w:hAnsi="Times New Roman" w:eastAsia="宋体"/>
          <w:b w:val="0"/>
          <w:color w:val="000000"/>
          <w:sz w:val="24"/>
        </w:rPr>
      </w:pPr>
    </w:p>
    <w:p w14:paraId="159E2368">
      <w:pPr>
        <w:pStyle w:val="2"/>
        <w:numPr>
          <w:ilvl w:val="0"/>
          <w:numId w:val="1"/>
        </w:numPr>
        <w:spacing w:before="280" w:after="120"/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  <w:t>附件</w:t>
      </w:r>
    </w:p>
    <w:p w14:paraId="090344FB">
      <w:pPr>
        <w:pStyle w:val="3"/>
        <w:numPr>
          <w:numId w:val="0"/>
        </w:numPr>
        <w:bidi w:val="0"/>
        <w:rPr>
          <w:rFonts w:hint="eastAsia"/>
          <w:b/>
          <w:bCs/>
          <w:color w:val="auto"/>
          <w:lang w:val="en-US" w:eastAsia="zh-CN"/>
        </w:rPr>
      </w:pPr>
      <w:bookmarkStart w:id="0" w:name="_（一）附件一：引导关注公众号流程"/>
      <w:r>
        <w:rPr>
          <w:rFonts w:hint="eastAsia"/>
          <w:b/>
          <w:bCs/>
          <w:color w:val="auto"/>
          <w:lang w:val="en-US" w:eastAsia="zh-CN"/>
        </w:rPr>
        <w:t>（一）附件一：引导关注公众号流程</w:t>
      </w:r>
    </w:p>
    <w:bookmarkEnd w:id="0"/>
    <w:p w14:paraId="2CAF9B4A">
      <w:pPr>
        <w:numPr>
          <w:numId w:val="0"/>
        </w:num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1917065</wp:posOffset>
                </wp:positionH>
                <wp:positionV relativeFrom="paragraph">
                  <wp:posOffset>1248410</wp:posOffset>
                </wp:positionV>
                <wp:extent cx="400050" cy="401955"/>
                <wp:effectExtent l="6350" t="15240" r="20320" b="24765"/>
                <wp:wrapNone/>
                <wp:docPr id="5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019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右 6" o:spid="_x0000_s1026" o:spt="13" type="#_x0000_t13" style="position:absolute;left:0pt;margin-left:150.95pt;margin-top:98.3pt;height:31.65pt;width:31.5pt;z-index:251660288;v-text-anchor:middle;mso-width-relative:page;mso-height-relative:page;" fillcolor="#4472C4 [3204]" filled="t" stroked="t" coordsize="21600,21600" o:gfxdata="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mXyTfZAAAACwEA&#10;AA8AAAAAAAAAAQAgAAAAIgAAAGRycy9kb3ducmV2LnhtbFBLAQIUABQAAAAIAIdO4kCuTeKGiwIA&#10;AB8FAAAOAAAAAAAAAAEAIAAAACgBAABkcnMvZTJvRG9jLnhtbFBLBQYAAAAABgAGAFkBAAAlBgAA&#10;AAA=&#10;" adj="10800,5400">
                <v:fill on="t" focussize="0,0"/>
                <v:stroke weight="1pt" color="#172C51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788795" cy="3183255"/>
            <wp:effectExtent l="0" t="0" r="9525" b="1905"/>
            <wp:docPr id="1" name="图片 1" descr="fdd51cbfad27e82c7017f0bc161e82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d51cbfad27e82c7017f0bc161e828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411605" cy="3197225"/>
            <wp:effectExtent l="0" t="0" r="5715" b="3175"/>
            <wp:docPr id="3" name="图片 3" descr="3e6e5db1de9425d00769b91978a2cb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e6e5db1de9425d00769b91978a2cbd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37B95">
      <w:pPr>
        <w:numPr>
          <w:numId w:val="0"/>
        </w:numPr>
        <w:rPr>
          <w:rFonts w:hint="eastAsia"/>
        </w:rPr>
      </w:pPr>
    </w:p>
    <w:p w14:paraId="285D9425">
      <w:pPr>
        <w:numPr>
          <w:numId w:val="0"/>
        </w:num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1410335</wp:posOffset>
                </wp:positionV>
                <wp:extent cx="400050" cy="401955"/>
                <wp:effectExtent l="6350" t="15240" r="20320" b="24765"/>
                <wp:wrapNone/>
                <wp:docPr id="2096897448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0195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右 6" o:spid="_x0000_s1026" o:spt="13" type="#_x0000_t13" style="position:absolute;left:0pt;margin-left:149.65pt;margin-top:111.05pt;height:31.65pt;width:31.5pt;z-index:251659264;v-text-anchor:middle;mso-width-relative:page;mso-height-relative:page;" fillcolor="#4472C4 [3204]" filled="t" stroked="t" coordsize="21600,21600" o:gfxdata="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0Qre&#10;pdkAAAALAQAADwAAAAAAAAABACAAAAAiAAAAZHJzL2Rvd25yZXYueG1sUEsBAhQAFAAAAAgAh07i&#10;QKdEsuSTAgAAKAUAAA4AAAAAAAAAAQAgAAAAKAEAAGRycy9lMm9Eb2MueG1sUEsFBgAAAAAGAAYA&#10;WQEAAC0GAAAAAA==&#10;" adj="10800,5400">
                <v:fill on="t" focussize="0,0"/>
                <v:stroke weight="1pt" color="#172C51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drawing>
          <wp:inline distT="0" distB="0" distL="114300" distR="114300">
            <wp:extent cx="1591310" cy="3290570"/>
            <wp:effectExtent l="0" t="0" r="8890" b="1270"/>
            <wp:docPr id="4" name="图片 4" descr="7417a45cb36044c2f757b1e3b2c3be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417a45cb36044c2f757b1e3b2c3bec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drawing>
          <wp:inline distT="0" distB="0" distL="114300" distR="114300">
            <wp:extent cx="1530350" cy="3320415"/>
            <wp:effectExtent l="0" t="0" r="8890" b="1905"/>
            <wp:docPr id="2" name="图片 2" descr="0bfbf75a56b57b9114afde6e0452ae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bfbf75a56b57b9114afde6e0452ae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0FDB5">
      <w:pPr>
        <w:pStyle w:val="3"/>
        <w:numPr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（二）附件二：人保智荟商城服务平台</w:t>
      </w:r>
    </w:p>
    <w:p w14:paraId="21D28A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4286250" cy="1809750"/>
            <wp:effectExtent l="0" t="0" r="11430" b="38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1C82C">
      <w:pPr>
        <w:pStyle w:val="3"/>
        <w:numPr>
          <w:numId w:val="0"/>
        </w:numPr>
        <w:bidi w:val="0"/>
        <w:rPr>
          <w:rFonts w:hint="default"/>
          <w:lang w:val="en-US" w:eastAsia="zh-CN"/>
        </w:rPr>
      </w:pPr>
      <w:bookmarkStart w:id="1" w:name="_附件三：参照的华荟调查问卷活动"/>
      <w:r>
        <w:rPr>
          <w:rFonts w:hint="eastAsia"/>
          <w:lang w:val="en-US" w:eastAsia="zh-CN"/>
        </w:rPr>
        <w:t>（三）附件三：参照的华荟调查问卷活动</w:t>
      </w:r>
    </w:p>
    <w:bookmarkEnd w:id="1"/>
    <w:p w14:paraId="0262EB55">
      <w:pPr>
        <w:numPr>
          <w:numId w:val="0"/>
        </w:numPr>
      </w:pPr>
      <w:r>
        <w:drawing>
          <wp:inline distT="0" distB="0" distL="0" distR="0">
            <wp:extent cx="1430655" cy="3189605"/>
            <wp:effectExtent l="0" t="0" r="1905" b="10795"/>
            <wp:docPr id="18959941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99412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0" distR="0">
            <wp:extent cx="1850390" cy="2933065"/>
            <wp:effectExtent l="0" t="0" r="8890" b="8255"/>
            <wp:docPr id="776373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37351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0" distR="0">
            <wp:extent cx="1248410" cy="2627630"/>
            <wp:effectExtent l="0" t="0" r="1270" b="8890"/>
            <wp:docPr id="386906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0603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7519" cy="266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A1965">
      <w:r>
        <w:br w:type="page"/>
      </w:r>
    </w:p>
    <w:p w14:paraId="1FB030B5">
      <w:pPr>
        <w:numPr>
          <w:numId w:val="0"/>
        </w:numPr>
      </w:pPr>
    </w:p>
    <w:p w14:paraId="293D2557">
      <w:pPr>
        <w:pStyle w:val="3"/>
        <w:numPr>
          <w:numId w:val="0"/>
        </w:numPr>
        <w:bidi w:val="0"/>
        <w:rPr>
          <w:rFonts w:hint="eastAsia"/>
          <w:lang w:val="en-US" w:eastAsia="zh-CN"/>
        </w:rPr>
      </w:pPr>
      <w:bookmarkStart w:id="2" w:name="_附件四：其他平台签到活动参照图"/>
      <w:r>
        <w:rPr>
          <w:rFonts w:hint="eastAsia"/>
          <w:lang w:val="en-US" w:eastAsia="zh-CN"/>
        </w:rPr>
        <w:t>（四）附件四：其他平台签到活动参照图</w:t>
      </w:r>
    </w:p>
    <w:bookmarkEnd w:id="2"/>
    <w:p w14:paraId="2BA2700C">
      <w:pPr>
        <w:widowControl w:val="0"/>
        <w:numPr>
          <w:numId w:val="0"/>
        </w:numPr>
        <w:spacing w:after="160" w:line="278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0" distR="0">
            <wp:extent cx="1311275" cy="2962275"/>
            <wp:effectExtent l="0" t="0" r="14605" b="9525"/>
            <wp:docPr id="8179720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72046" name="图片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4110" cy="299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0" distR="0">
            <wp:extent cx="1301115" cy="2941955"/>
            <wp:effectExtent l="0" t="0" r="9525" b="14605"/>
            <wp:docPr id="213281929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19298" name="图片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E85E6">
      <w:pPr>
        <w:pStyle w:val="3"/>
        <w:numPr>
          <w:numId w:val="0"/>
        </w:numPr>
        <w:bidi w:val="0"/>
        <w:rPr>
          <w:rFonts w:hint="default"/>
          <w:lang w:val="en-US" w:eastAsia="zh-CN"/>
        </w:rPr>
      </w:pPr>
      <w:bookmarkStart w:id="3" w:name="_附件五：首页功能分区设计草图"/>
      <w:r>
        <w:rPr>
          <w:rFonts w:hint="eastAsia"/>
          <w:lang w:val="en-US" w:eastAsia="zh-CN"/>
        </w:rPr>
        <w:t>（五）附件五：首页功能分区设计草图</w:t>
      </w:r>
    </w:p>
    <w:bookmarkEnd w:id="3"/>
    <w:p w14:paraId="11018775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华荟商城图                   预想设计图</w:t>
      </w:r>
    </w:p>
    <w:p w14:paraId="54E6803B">
      <w:pPr>
        <w:widowControl w:val="0"/>
        <w:numPr>
          <w:numId w:val="0"/>
        </w:numPr>
        <w:spacing w:after="160" w:line="278" w:lineRule="auto"/>
      </w:pPr>
      <w:r>
        <w:drawing>
          <wp:inline distT="0" distB="0" distL="0" distR="0">
            <wp:extent cx="1285875" cy="3484245"/>
            <wp:effectExtent l="0" t="0" r="9525" b="5715"/>
            <wp:docPr id="5476150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15066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08200" cy="354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0" distR="0">
            <wp:extent cx="2856230" cy="3221355"/>
            <wp:effectExtent l="0" t="0" r="8890" b="9525"/>
            <wp:docPr id="15229983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98379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8804" cy="32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C315D">
      <w:r>
        <w:br w:type="page"/>
      </w:r>
    </w:p>
    <w:p w14:paraId="4E7E7918">
      <w:pPr>
        <w:widowControl w:val="0"/>
        <w:numPr>
          <w:numId w:val="0"/>
        </w:numPr>
        <w:spacing w:after="160" w:line="278" w:lineRule="auto"/>
      </w:pPr>
    </w:p>
    <w:p w14:paraId="4B7D950D">
      <w:pPr>
        <w:pStyle w:val="3"/>
        <w:numPr>
          <w:numId w:val="0"/>
        </w:numPr>
        <w:bidi w:val="0"/>
        <w:rPr>
          <w:rFonts w:hint="eastAsia"/>
          <w:lang w:val="en-US" w:eastAsia="zh-CN"/>
        </w:rPr>
      </w:pPr>
      <w:bookmarkStart w:id="4" w:name="_附件六：平台概念图"/>
      <w:r>
        <w:rPr>
          <w:rFonts w:hint="eastAsia"/>
          <w:lang w:val="en-US" w:eastAsia="zh-CN"/>
        </w:rPr>
        <w:t>（六）附件六：平台概念图</w:t>
      </w:r>
    </w:p>
    <w:bookmarkEnd w:id="4"/>
    <w:p w14:paraId="75F14229">
      <w:pPr>
        <w:widowControl w:val="0"/>
        <w:numPr>
          <w:numId w:val="0"/>
        </w:numPr>
        <w:spacing w:after="160" w:line="278" w:lineRule="auto"/>
        <w:rPr>
          <w14:ligatures w14:val="none"/>
        </w:rPr>
      </w:pPr>
      <w:r>
        <w:rPr>
          <w14:ligatures w14:val="none"/>
        </w:rPr>
        <w:drawing>
          <wp:inline distT="0" distB="0" distL="0" distR="0">
            <wp:extent cx="5274310" cy="2564765"/>
            <wp:effectExtent l="0" t="0" r="13970" b="10795"/>
            <wp:docPr id="13299194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91941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C7C4">
      <w:pPr>
        <w:pStyle w:val="3"/>
        <w:numPr>
          <w:numId w:val="0"/>
        </w:numPr>
        <w:bidi w:val="0"/>
        <w:rPr>
          <w:rFonts w:hint="eastAsia"/>
          <w:lang w:val="en-US" w:eastAsia="zh-CN"/>
        </w:rPr>
      </w:pPr>
      <w:bookmarkStart w:id="5" w:name="_附件七：平台购买兑换流程图"/>
      <w:r>
        <w:rPr>
          <w:rFonts w:hint="eastAsia"/>
          <w:lang w:val="en-US" w:eastAsia="zh-CN"/>
        </w:rPr>
        <w:t>（七）附件七：平台购买兑换流程图</w:t>
      </w:r>
    </w:p>
    <w:bookmarkEnd w:id="5"/>
    <w:p w14:paraId="5C05B348">
      <w:pPr>
        <w:widowControl w:val="0"/>
        <w:numPr>
          <w:numId w:val="0"/>
        </w:numPr>
        <w:spacing w:after="160" w:line="278" w:lineRule="auto"/>
        <w:rPr>
          <w:rFonts w:hint="default"/>
          <w:lang w:val="en-US" w:eastAsia="zh-CN"/>
          <w14:ligatures w14:val="none"/>
        </w:rPr>
      </w:pPr>
      <w:r>
        <w:rPr>
          <w14:ligatures w14:val="none"/>
        </w:rPr>
        <w:drawing>
          <wp:inline distT="0" distB="0" distL="0" distR="0">
            <wp:extent cx="4072255" cy="4639310"/>
            <wp:effectExtent l="0" t="0" r="12065" b="8890"/>
            <wp:docPr id="1496697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9743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72255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B04A86"/>
    <w:multiLevelType w:val="singleLevel"/>
    <w:tmpl w:val="EBB04A86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8F"/>
    <w:rsid w:val="00026CD1"/>
    <w:rsid w:val="0006248F"/>
    <w:rsid w:val="000648BE"/>
    <w:rsid w:val="00065485"/>
    <w:rsid w:val="000A294C"/>
    <w:rsid w:val="000A3881"/>
    <w:rsid w:val="000B0308"/>
    <w:rsid w:val="000B581B"/>
    <w:rsid w:val="00157594"/>
    <w:rsid w:val="0017338E"/>
    <w:rsid w:val="00182F8A"/>
    <w:rsid w:val="001864D2"/>
    <w:rsid w:val="0019477E"/>
    <w:rsid w:val="001A3BBC"/>
    <w:rsid w:val="001D4E49"/>
    <w:rsid w:val="001F481A"/>
    <w:rsid w:val="00227B64"/>
    <w:rsid w:val="00247E39"/>
    <w:rsid w:val="00262786"/>
    <w:rsid w:val="00271EFA"/>
    <w:rsid w:val="002725A0"/>
    <w:rsid w:val="0027758F"/>
    <w:rsid w:val="002A18B1"/>
    <w:rsid w:val="002A48C4"/>
    <w:rsid w:val="002C51F0"/>
    <w:rsid w:val="002D067B"/>
    <w:rsid w:val="00315EB5"/>
    <w:rsid w:val="0032000E"/>
    <w:rsid w:val="00353480"/>
    <w:rsid w:val="00372E15"/>
    <w:rsid w:val="0037344B"/>
    <w:rsid w:val="003805F2"/>
    <w:rsid w:val="003A0C61"/>
    <w:rsid w:val="003A45AE"/>
    <w:rsid w:val="003C0617"/>
    <w:rsid w:val="003C48BD"/>
    <w:rsid w:val="003D2A96"/>
    <w:rsid w:val="003E79AA"/>
    <w:rsid w:val="00441BBD"/>
    <w:rsid w:val="004513E4"/>
    <w:rsid w:val="00453FB1"/>
    <w:rsid w:val="00467B9D"/>
    <w:rsid w:val="004E4540"/>
    <w:rsid w:val="005107FB"/>
    <w:rsid w:val="005414AC"/>
    <w:rsid w:val="00552D08"/>
    <w:rsid w:val="0058678E"/>
    <w:rsid w:val="005E535F"/>
    <w:rsid w:val="005F4E53"/>
    <w:rsid w:val="00604B04"/>
    <w:rsid w:val="00610F3B"/>
    <w:rsid w:val="00622BBE"/>
    <w:rsid w:val="0065259E"/>
    <w:rsid w:val="0066771F"/>
    <w:rsid w:val="00674549"/>
    <w:rsid w:val="006F0EF0"/>
    <w:rsid w:val="006F3635"/>
    <w:rsid w:val="00705EDB"/>
    <w:rsid w:val="00760D5A"/>
    <w:rsid w:val="00776910"/>
    <w:rsid w:val="007778F8"/>
    <w:rsid w:val="007B1952"/>
    <w:rsid w:val="00814C89"/>
    <w:rsid w:val="0082414B"/>
    <w:rsid w:val="00846625"/>
    <w:rsid w:val="00901917"/>
    <w:rsid w:val="009805E2"/>
    <w:rsid w:val="00A64945"/>
    <w:rsid w:val="00AD1CF2"/>
    <w:rsid w:val="00B01795"/>
    <w:rsid w:val="00B653C5"/>
    <w:rsid w:val="00BF40B9"/>
    <w:rsid w:val="00C06259"/>
    <w:rsid w:val="00C13E66"/>
    <w:rsid w:val="00C3409F"/>
    <w:rsid w:val="00C55161"/>
    <w:rsid w:val="00C559CA"/>
    <w:rsid w:val="00CE1F12"/>
    <w:rsid w:val="00CF0347"/>
    <w:rsid w:val="00D35C3E"/>
    <w:rsid w:val="00D83AAB"/>
    <w:rsid w:val="00DB5A95"/>
    <w:rsid w:val="00DB62B9"/>
    <w:rsid w:val="00DD51E0"/>
    <w:rsid w:val="00DF177C"/>
    <w:rsid w:val="00F524C3"/>
    <w:rsid w:val="00F7777E"/>
    <w:rsid w:val="00FC0DD5"/>
    <w:rsid w:val="05E56885"/>
    <w:rsid w:val="1F9B29B4"/>
    <w:rsid w:val="389E2DCE"/>
    <w:rsid w:val="431606B0"/>
    <w:rsid w:val="448534AC"/>
    <w:rsid w:val="48B67583"/>
    <w:rsid w:val="48F22223"/>
    <w:rsid w:val="50071803"/>
    <w:rsid w:val="59DB7450"/>
    <w:rsid w:val="5ABE35D2"/>
    <w:rsid w:val="6C0B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uiPriority w:val="99"/>
    <w:rPr>
      <w:color w:val="800080"/>
      <w:u w:val="single"/>
    </w:rPr>
  </w:style>
  <w:style w:type="character" w:styleId="18">
    <w:name w:val="Hyperlink"/>
    <w:basedOn w:val="16"/>
    <w:semiHidden/>
    <w:unhideWhenUsed/>
    <w:uiPriority w:val="99"/>
    <w:rPr>
      <w:color w:val="0000FF"/>
      <w:u w:val="single"/>
    </w:rPr>
  </w:style>
  <w:style w:type="character" w:customStyle="1" w:styleId="19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6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6"/>
    <w:link w:val="12"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3387</Words>
  <Characters>3438</Characters>
  <Lines>115</Lines>
  <Paragraphs>142</Paragraphs>
  <TotalTime>14</TotalTime>
  <ScaleCrop>false</ScaleCrop>
  <LinksUpToDate>false</LinksUpToDate>
  <CharactersWithSpaces>3444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2026-09-23T03:07:00Z</dcterms:created>
  <dc:creator>zhou fangpan</dc:creator>
  <cp:lastModifiedBy>时光</cp:lastModifiedBy>
  <dcterms:modified xsi:type="dcterms:W3CDTF">2026-10-21T08:48:45Z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eyJoZGlkIjoiMzY2YWJkM2M3ZDA5N2YxZThkOGE2NmE2MTMyNDIzNzciLCJ1c2VySWQiOiI2NjYzMzU3MDgifQ==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4FD426C5BFD34B719BF61CECF02FC9F6_12</vt:lpwstr>
  </property>
</Properties>
</file>