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ordWrap w:val="0"/>
        <w:spacing w:line="360" w:lineRule="auto"/>
        <w:ind w:right="560"/>
        <w:jc w:val="right"/>
        <w:rPr>
          <w:rFonts w:hint="default" w:ascii="仿宋" w:hAnsi="仿宋" w:eastAsia="仿宋"/>
          <w:b/>
          <w:sz w:val="28"/>
          <w:szCs w:val="28"/>
          <w:highlight w:val="none"/>
          <w:lang w:val="en-US" w:eastAsia="zh-CN"/>
        </w:rPr>
      </w:pPr>
      <w:r>
        <w:rPr>
          <w:rFonts w:hint="eastAsia" w:ascii="仿宋" w:hAnsi="仿宋" w:eastAsia="仿宋"/>
          <w:b/>
          <w:sz w:val="28"/>
          <w:szCs w:val="28"/>
          <w:highlight w:val="none"/>
        </w:rPr>
        <w:t>编号：</w:t>
      </w:r>
      <w:r>
        <w:rPr>
          <w:rFonts w:hint="eastAsia" w:ascii="仿宋" w:hAnsi="仿宋" w:eastAsia="仿宋"/>
          <w:b/>
          <w:sz w:val="28"/>
          <w:szCs w:val="28"/>
          <w:highlight w:val="none"/>
          <w:lang w:val="en-US" w:eastAsia="zh-CN"/>
        </w:rPr>
        <w:t xml:space="preserve">        </w:t>
      </w:r>
    </w:p>
    <w:p>
      <w:pPr>
        <w:adjustRightInd w:val="0"/>
        <w:spacing w:line="520" w:lineRule="exact"/>
        <w:jc w:val="center"/>
        <w:textAlignment w:val="baseline"/>
        <w:rPr>
          <w:rFonts w:ascii="仿宋_GB2312" w:hAnsi="宋体" w:eastAsia="仿宋_GB2312"/>
          <w:kern w:val="0"/>
          <w:sz w:val="28"/>
          <w:szCs w:val="28"/>
        </w:rPr>
      </w:pPr>
    </w:p>
    <w:p>
      <w:pPr>
        <w:adjustRightInd w:val="0"/>
        <w:spacing w:line="520" w:lineRule="exact"/>
        <w:jc w:val="center"/>
        <w:textAlignment w:val="baseline"/>
        <w:rPr>
          <w:rFonts w:ascii="仿宋_GB2312" w:hAnsi="宋体" w:eastAsia="仿宋_GB2312"/>
          <w:kern w:val="0"/>
          <w:sz w:val="28"/>
          <w:szCs w:val="28"/>
        </w:rPr>
      </w:pPr>
    </w:p>
    <w:p>
      <w:pPr>
        <w:adjustRightInd w:val="0"/>
        <w:spacing w:line="520" w:lineRule="exact"/>
        <w:jc w:val="center"/>
        <w:textAlignment w:val="baseline"/>
        <w:rPr>
          <w:rFonts w:ascii="仿宋_GB2312" w:hAnsi="宋体" w:eastAsia="仿宋_GB2312"/>
          <w:kern w:val="0"/>
          <w:sz w:val="28"/>
          <w:szCs w:val="28"/>
        </w:rPr>
      </w:pPr>
    </w:p>
    <w:p>
      <w:pPr>
        <w:adjustRightInd w:val="0"/>
        <w:spacing w:line="520" w:lineRule="exact"/>
        <w:jc w:val="center"/>
        <w:textAlignment w:val="baseline"/>
        <w:rPr>
          <w:rFonts w:ascii="仿宋_GB2312" w:hAnsi="宋体" w:eastAsia="仿宋_GB2312"/>
          <w:kern w:val="0"/>
          <w:sz w:val="28"/>
          <w:szCs w:val="28"/>
        </w:rPr>
      </w:pPr>
    </w:p>
    <w:p>
      <w:pPr>
        <w:adjustRightInd w:val="0"/>
        <w:spacing w:line="520" w:lineRule="exact"/>
        <w:jc w:val="center"/>
        <w:textAlignment w:val="baseline"/>
        <w:rPr>
          <w:rFonts w:ascii="仿宋_GB2312" w:hAnsi="宋体" w:eastAsia="仿宋_GB2312"/>
          <w:kern w:val="0"/>
          <w:sz w:val="28"/>
          <w:szCs w:val="28"/>
        </w:rPr>
      </w:pPr>
    </w:p>
    <w:p>
      <w:pPr>
        <w:adjustRightInd w:val="0"/>
        <w:spacing w:line="360" w:lineRule="atLeast"/>
        <w:jc w:val="center"/>
        <w:textAlignment w:val="baseline"/>
        <w:rPr>
          <w:rFonts w:hint="eastAsia" w:ascii="宋体" w:hAnsi="宋体"/>
          <w:b/>
          <w:kern w:val="0"/>
          <w:sz w:val="52"/>
          <w:szCs w:val="52"/>
          <w:lang w:val="en-US" w:eastAsia="zh-CN"/>
        </w:rPr>
      </w:pPr>
      <w:r>
        <w:rPr>
          <w:rFonts w:hint="eastAsia" w:ascii="宋体" w:hAnsi="宋体"/>
          <w:b/>
          <w:kern w:val="0"/>
          <w:sz w:val="52"/>
          <w:szCs w:val="52"/>
        </w:rPr>
        <w:t>中信银行</w:t>
      </w:r>
      <w:r>
        <w:rPr>
          <w:rFonts w:hint="eastAsia" w:ascii="宋体" w:hAnsi="宋体"/>
          <w:b/>
          <w:kern w:val="0"/>
          <w:sz w:val="52"/>
          <w:szCs w:val="52"/>
          <w:lang w:val="en-US" w:eastAsia="zh-CN"/>
        </w:rPr>
        <w:t>e管家业务平台子商户</w:t>
      </w:r>
    </w:p>
    <w:p>
      <w:pPr>
        <w:adjustRightInd w:val="0"/>
        <w:spacing w:line="360" w:lineRule="atLeast"/>
        <w:jc w:val="center"/>
        <w:textAlignment w:val="baseline"/>
        <w:rPr>
          <w:rFonts w:ascii="宋体" w:hAnsi="宋体"/>
          <w:b/>
          <w:kern w:val="0"/>
          <w:sz w:val="52"/>
          <w:szCs w:val="52"/>
        </w:rPr>
      </w:pPr>
      <w:r>
        <w:rPr>
          <w:rFonts w:hint="eastAsia" w:ascii="宋体" w:hAnsi="宋体"/>
          <w:b/>
          <w:kern w:val="0"/>
          <w:sz w:val="52"/>
          <w:szCs w:val="52"/>
          <w:lang w:val="en-US" w:eastAsia="zh-CN"/>
        </w:rPr>
        <w:t>服务</w:t>
      </w:r>
      <w:r>
        <w:rPr>
          <w:rFonts w:hint="eastAsia" w:ascii="宋体" w:hAnsi="宋体"/>
          <w:b/>
          <w:kern w:val="0"/>
          <w:sz w:val="52"/>
          <w:szCs w:val="52"/>
        </w:rPr>
        <w:t>协议</w:t>
      </w:r>
    </w:p>
    <w:p>
      <w:pPr>
        <w:adjustRightInd w:val="0"/>
        <w:snapToGrid w:val="0"/>
        <w:spacing w:line="520" w:lineRule="exact"/>
        <w:ind w:firstLine="560"/>
        <w:textAlignment w:val="baseline"/>
        <w:rPr>
          <w:rFonts w:ascii="仿宋_GB2312" w:hAnsi="宋体" w:eastAsia="仿宋_GB2312"/>
          <w:kern w:val="0"/>
          <w:sz w:val="28"/>
          <w:szCs w:val="28"/>
        </w:rPr>
      </w:pPr>
    </w:p>
    <w:p>
      <w:pPr>
        <w:adjustRightInd w:val="0"/>
        <w:snapToGrid w:val="0"/>
        <w:spacing w:line="520" w:lineRule="exact"/>
        <w:ind w:firstLine="560"/>
        <w:textAlignment w:val="baseline"/>
        <w:rPr>
          <w:rFonts w:ascii="仿宋_GB2312" w:hAnsi="宋体" w:eastAsia="仿宋_GB2312"/>
          <w:kern w:val="0"/>
          <w:sz w:val="28"/>
          <w:szCs w:val="28"/>
        </w:rPr>
      </w:pPr>
    </w:p>
    <w:p>
      <w:pPr>
        <w:adjustRightInd w:val="0"/>
        <w:snapToGrid w:val="0"/>
        <w:spacing w:line="520" w:lineRule="exact"/>
        <w:ind w:firstLine="560"/>
        <w:textAlignment w:val="baseline"/>
        <w:rPr>
          <w:rFonts w:ascii="仿宋_GB2312" w:hAnsi="宋体" w:eastAsia="仿宋_GB2312"/>
          <w:kern w:val="0"/>
          <w:sz w:val="28"/>
          <w:szCs w:val="28"/>
        </w:rPr>
      </w:pPr>
    </w:p>
    <w:p>
      <w:pPr>
        <w:adjustRightInd w:val="0"/>
        <w:spacing w:line="360" w:lineRule="auto"/>
        <w:jc w:val="center"/>
        <w:textAlignment w:val="baseline"/>
        <w:rPr>
          <w:rFonts w:ascii="仿宋_GB2312" w:hAnsi="Times New Roman" w:eastAsia="仿宋_GB2312"/>
          <w:b/>
          <w:kern w:val="0"/>
          <w:sz w:val="44"/>
          <w:szCs w:val="44"/>
        </w:rPr>
      </w:pPr>
    </w:p>
    <w:p>
      <w:pPr>
        <w:adjustRightInd w:val="0"/>
        <w:spacing w:line="360" w:lineRule="auto"/>
        <w:jc w:val="left"/>
        <w:textAlignment w:val="baseline"/>
        <w:rPr>
          <w:rFonts w:ascii="仿宋_GB2312" w:hAnsi="Times New Roman" w:eastAsia="仿宋_GB2312"/>
          <w:b/>
          <w:kern w:val="0"/>
          <w:sz w:val="24"/>
          <w:szCs w:val="28"/>
        </w:rPr>
      </w:pPr>
    </w:p>
    <w:p>
      <w:pPr>
        <w:adjustRightInd w:val="0"/>
        <w:spacing w:line="360" w:lineRule="auto"/>
        <w:ind w:firstLine="562" w:firstLineChars="200"/>
        <w:jc w:val="center"/>
        <w:textAlignment w:val="baseline"/>
        <w:rPr>
          <w:rFonts w:ascii="仿宋_GB2312" w:hAnsi="Times New Roman" w:eastAsia="仿宋_GB2312"/>
          <w:b/>
          <w:bCs/>
          <w:kern w:val="0"/>
          <w:sz w:val="28"/>
          <w:szCs w:val="28"/>
        </w:rPr>
      </w:pPr>
    </w:p>
    <w:p>
      <w:pPr>
        <w:adjustRightInd w:val="0"/>
        <w:spacing w:line="360" w:lineRule="auto"/>
        <w:ind w:firstLine="562" w:firstLineChars="200"/>
        <w:jc w:val="center"/>
        <w:textAlignment w:val="baseline"/>
        <w:rPr>
          <w:rFonts w:ascii="仿宋_GB2312" w:hAnsi="Times New Roman" w:eastAsia="仿宋_GB2312"/>
          <w:b/>
          <w:bCs/>
          <w:kern w:val="0"/>
          <w:sz w:val="28"/>
          <w:szCs w:val="28"/>
        </w:rPr>
      </w:pPr>
    </w:p>
    <w:p>
      <w:pPr>
        <w:adjustRightInd w:val="0"/>
        <w:spacing w:line="360" w:lineRule="auto"/>
        <w:ind w:firstLine="562" w:firstLineChars="200"/>
        <w:jc w:val="center"/>
        <w:textAlignment w:val="baseline"/>
        <w:rPr>
          <w:rFonts w:ascii="仿宋_GB2312" w:hAnsi="Times New Roman" w:eastAsia="仿宋_GB2312"/>
          <w:b/>
          <w:bCs/>
          <w:kern w:val="0"/>
          <w:sz w:val="28"/>
          <w:szCs w:val="28"/>
        </w:rPr>
      </w:pPr>
    </w:p>
    <w:p>
      <w:pPr>
        <w:adjustRightInd w:val="0"/>
        <w:spacing w:line="360" w:lineRule="atLeast"/>
        <w:jc w:val="left"/>
        <w:textAlignment w:val="baseline"/>
        <w:rPr>
          <w:rFonts w:ascii="Times New Roman" w:hAnsi="Times New Roman" w:eastAsia="昆仑楷体"/>
          <w:kern w:val="0"/>
          <w:sz w:val="24"/>
          <w:szCs w:val="20"/>
        </w:rPr>
      </w:pPr>
    </w:p>
    <w:p>
      <w:pPr>
        <w:adjustRightInd w:val="0"/>
        <w:snapToGrid w:val="0"/>
        <w:spacing w:line="380" w:lineRule="exact"/>
        <w:ind w:firstLine="720" w:firstLineChars="200"/>
        <w:textAlignment w:val="baseline"/>
        <w:rPr>
          <w:rFonts w:ascii="宋体" w:hAnsi="宋体"/>
          <w:kern w:val="0"/>
          <w:sz w:val="36"/>
          <w:szCs w:val="36"/>
        </w:rPr>
      </w:pPr>
    </w:p>
    <w:p>
      <w:pPr>
        <w:adjustRightInd w:val="0"/>
        <w:snapToGrid w:val="0"/>
        <w:spacing w:line="380" w:lineRule="exact"/>
        <w:textAlignment w:val="baseline"/>
        <w:rPr>
          <w:rFonts w:ascii="宋体" w:hAnsi="宋体"/>
          <w:kern w:val="0"/>
          <w:sz w:val="36"/>
          <w:szCs w:val="36"/>
        </w:rPr>
      </w:pPr>
    </w:p>
    <w:p>
      <w:pPr>
        <w:adjustRightInd w:val="0"/>
        <w:snapToGrid w:val="0"/>
        <w:spacing w:line="380" w:lineRule="exact"/>
        <w:ind w:firstLine="720" w:firstLineChars="200"/>
        <w:textAlignment w:val="baseline"/>
        <w:rPr>
          <w:rFonts w:ascii="宋体" w:hAnsi="宋体"/>
          <w:kern w:val="0"/>
          <w:sz w:val="36"/>
          <w:szCs w:val="36"/>
        </w:rPr>
      </w:pPr>
      <w:r>
        <w:rPr>
          <w:rFonts w:ascii="宋体" w:hAnsi="宋体"/>
          <w:kern w:val="0"/>
          <w:sz w:val="36"/>
          <w:szCs w:val="36"/>
        </w:rPr>
        <w:drawing>
          <wp:anchor distT="0" distB="0" distL="114300" distR="114300" simplePos="0" relativeHeight="251659264" behindDoc="0" locked="0" layoutInCell="1" allowOverlap="1">
            <wp:simplePos x="0" y="0"/>
            <wp:positionH relativeFrom="column">
              <wp:posOffset>1590675</wp:posOffset>
            </wp:positionH>
            <wp:positionV relativeFrom="paragraph">
              <wp:posOffset>46990</wp:posOffset>
            </wp:positionV>
            <wp:extent cx="2162175" cy="699135"/>
            <wp:effectExtent l="0" t="0" r="9525" b="5715"/>
            <wp:wrapSquare wrapText="bothSides"/>
            <wp:docPr id="2" name="图片 2" descr="我行新版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行新版商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62175" cy="699135"/>
                    </a:xfrm>
                    <a:prstGeom prst="rect">
                      <a:avLst/>
                    </a:prstGeom>
                    <a:noFill/>
                    <a:ln>
                      <a:noFill/>
                    </a:ln>
                  </pic:spPr>
                </pic:pic>
              </a:graphicData>
            </a:graphic>
          </wp:anchor>
        </w:drawing>
      </w:r>
    </w:p>
    <w:p>
      <w:pPr>
        <w:adjustRightInd w:val="0"/>
        <w:snapToGrid w:val="0"/>
        <w:spacing w:line="380" w:lineRule="exact"/>
        <w:textAlignment w:val="baseline"/>
        <w:rPr>
          <w:rFonts w:ascii="宋体" w:hAnsi="宋体"/>
          <w:kern w:val="0"/>
          <w:sz w:val="36"/>
          <w:szCs w:val="36"/>
        </w:rPr>
      </w:pPr>
    </w:p>
    <w:p>
      <w:pPr>
        <w:spacing w:line="560" w:lineRule="exact"/>
        <w:jc w:val="center"/>
        <w:rPr>
          <w:rFonts w:ascii="仿宋" w:hAnsi="仿宋" w:eastAsia="仿宋"/>
          <w:sz w:val="36"/>
          <w:szCs w:val="36"/>
        </w:rPr>
      </w:pPr>
      <w:r>
        <w:br w:type="page"/>
      </w:r>
    </w:p>
    <w:p>
      <w:pPr>
        <w:spacing w:line="560" w:lineRule="exact"/>
        <w:ind w:firstLine="480" w:firstLineChars="200"/>
        <w:jc w:val="left"/>
        <w:rPr>
          <w:rFonts w:hint="eastAsia" w:ascii="楷体" w:hAnsi="楷体" w:eastAsia="楷体"/>
          <w:b w:val="0"/>
          <w:bCs w:val="0"/>
          <w:sz w:val="24"/>
          <w:highlight w:val="none"/>
          <w:lang w:val="en-US" w:eastAsia="zh-CN"/>
        </w:rPr>
      </w:pPr>
      <w:r>
        <w:rPr>
          <w:rFonts w:hint="eastAsia" w:ascii="楷体" w:hAnsi="楷体" w:eastAsia="楷体"/>
          <w:b w:val="0"/>
          <w:bCs w:val="0"/>
          <w:sz w:val="24"/>
          <w:highlight w:val="none"/>
          <w:lang w:val="en-US" w:eastAsia="zh-CN"/>
        </w:rPr>
        <w:t>甲方：中信银行股份有限公司</w:t>
      </w:r>
      <w:r>
        <w:rPr>
          <w:rFonts w:hint="eastAsia" w:ascii="楷体" w:hAnsi="楷体" w:eastAsia="楷体"/>
          <w:b w:val="0"/>
          <w:bCs w:val="0"/>
          <w:sz w:val="24"/>
          <w:highlight w:val="none"/>
          <w:u w:val="single"/>
          <w:lang w:val="en-US" w:eastAsia="zh-CN"/>
        </w:rPr>
        <w:t xml:space="preserve">    </w:t>
      </w:r>
      <w:r>
        <w:rPr>
          <w:rFonts w:hint="eastAsia" w:ascii="楷体" w:hAnsi="楷体" w:eastAsia="楷体"/>
          <w:b w:val="0"/>
          <w:bCs w:val="0"/>
          <w:sz w:val="24"/>
          <w:highlight w:val="none"/>
          <w:lang w:val="en-US" w:eastAsia="zh-CN"/>
        </w:rPr>
        <w:t>分行</w:t>
      </w:r>
    </w:p>
    <w:p>
      <w:pPr>
        <w:spacing w:line="560" w:lineRule="exact"/>
        <w:ind w:firstLine="480" w:firstLineChars="200"/>
        <w:jc w:val="left"/>
        <w:rPr>
          <w:rFonts w:hint="eastAsia" w:ascii="楷体" w:hAnsi="楷体" w:eastAsia="楷体"/>
          <w:sz w:val="24"/>
          <w:highlight w:val="none"/>
        </w:rPr>
      </w:pPr>
      <w:r>
        <w:rPr>
          <w:rFonts w:hint="eastAsia" w:ascii="楷体" w:hAnsi="楷体" w:eastAsia="楷体"/>
          <w:sz w:val="24"/>
          <w:highlight w:val="none"/>
        </w:rPr>
        <w:t>负责人：</w:t>
      </w:r>
      <w:r>
        <w:rPr>
          <w:rFonts w:hint="eastAsia" w:ascii="楷体" w:hAnsi="楷体" w:eastAsia="楷体"/>
          <w:sz w:val="24"/>
          <w:highlight w:val="none"/>
          <w:lang w:eastAsia="zh-CN"/>
        </w:rPr>
        <w:t>【】</w:t>
      </w:r>
    </w:p>
    <w:p>
      <w:pPr>
        <w:spacing w:line="560" w:lineRule="exact"/>
        <w:ind w:firstLine="480" w:firstLineChars="200"/>
        <w:jc w:val="left"/>
        <w:rPr>
          <w:rFonts w:hint="eastAsia" w:ascii="楷体" w:hAnsi="楷体" w:eastAsia="楷体"/>
          <w:b w:val="0"/>
          <w:bCs w:val="0"/>
          <w:sz w:val="24"/>
          <w:highlight w:val="none"/>
          <w:lang w:val="en-US" w:eastAsia="zh-CN"/>
        </w:rPr>
      </w:pPr>
      <w:r>
        <w:rPr>
          <w:rFonts w:hint="eastAsia" w:ascii="楷体" w:hAnsi="楷体" w:eastAsia="楷体"/>
          <w:sz w:val="24"/>
          <w:highlight w:val="none"/>
        </w:rPr>
        <w:t xml:space="preserve">住所： </w:t>
      </w:r>
      <w:r>
        <w:rPr>
          <w:rFonts w:hint="eastAsia" w:ascii="楷体" w:hAnsi="楷体" w:eastAsia="楷体"/>
          <w:sz w:val="24"/>
          <w:highlight w:val="none"/>
          <w:lang w:eastAsia="zh-CN"/>
        </w:rPr>
        <w:t>【】</w:t>
      </w:r>
    </w:p>
    <w:p>
      <w:pPr>
        <w:spacing w:line="560" w:lineRule="exact"/>
        <w:ind w:firstLine="480" w:firstLineChars="200"/>
        <w:jc w:val="left"/>
        <w:rPr>
          <w:rFonts w:hint="eastAsia" w:ascii="楷体" w:hAnsi="楷体" w:eastAsia="楷体"/>
          <w:b w:val="0"/>
          <w:bCs w:val="0"/>
          <w:sz w:val="24"/>
          <w:highlight w:val="none"/>
          <w:lang w:val="en-US" w:eastAsia="zh-CN"/>
        </w:rPr>
      </w:pPr>
    </w:p>
    <w:p>
      <w:pPr>
        <w:spacing w:line="560" w:lineRule="exact"/>
        <w:ind w:firstLine="480" w:firstLineChars="200"/>
        <w:jc w:val="left"/>
        <w:rPr>
          <w:rFonts w:hint="eastAsia" w:ascii="楷体" w:hAnsi="楷体" w:eastAsia="楷体"/>
          <w:b w:val="0"/>
          <w:bCs w:val="0"/>
          <w:sz w:val="24"/>
          <w:highlight w:val="none"/>
          <w:lang w:val="en-US" w:eastAsia="zh-CN"/>
        </w:rPr>
      </w:pPr>
      <w:r>
        <w:rPr>
          <w:rFonts w:hint="eastAsia" w:ascii="楷体" w:hAnsi="楷体" w:eastAsia="楷体"/>
          <w:b w:val="0"/>
          <w:bCs w:val="0"/>
          <w:sz w:val="24"/>
          <w:highlight w:val="none"/>
          <w:lang w:val="en-US" w:eastAsia="zh-CN"/>
        </w:rPr>
        <w:t>乙方：【】（以下亦简称“平台子商户”）</w:t>
      </w:r>
    </w:p>
    <w:p>
      <w:pPr>
        <w:spacing w:line="560" w:lineRule="exact"/>
        <w:ind w:firstLine="480" w:firstLineChars="200"/>
        <w:jc w:val="left"/>
        <w:rPr>
          <w:rFonts w:hint="eastAsia" w:ascii="楷体" w:hAnsi="楷体" w:eastAsia="楷体"/>
          <w:b w:val="0"/>
          <w:bCs w:val="0"/>
          <w:sz w:val="24"/>
          <w:highlight w:val="none"/>
          <w:lang w:val="en-US" w:eastAsia="zh-CN"/>
        </w:rPr>
      </w:pPr>
      <w:r>
        <w:rPr>
          <w:rFonts w:hint="eastAsia" w:ascii="楷体" w:hAnsi="楷体" w:eastAsia="楷体"/>
          <w:b w:val="0"/>
          <w:bCs w:val="0"/>
          <w:sz w:val="24"/>
          <w:highlight w:val="none"/>
          <w:lang w:val="en-US" w:eastAsia="zh-CN"/>
        </w:rPr>
        <w:t>法定代表人：【】</w:t>
      </w:r>
    </w:p>
    <w:p>
      <w:pPr>
        <w:spacing w:line="560" w:lineRule="exact"/>
        <w:ind w:firstLine="480" w:firstLineChars="200"/>
        <w:jc w:val="left"/>
        <w:rPr>
          <w:rFonts w:hint="eastAsia" w:ascii="楷体" w:hAnsi="楷体" w:eastAsia="楷体"/>
          <w:b w:val="0"/>
          <w:bCs w:val="0"/>
          <w:sz w:val="24"/>
          <w:highlight w:val="none"/>
          <w:lang w:val="en-US" w:eastAsia="zh-CN"/>
        </w:rPr>
      </w:pPr>
      <w:r>
        <w:rPr>
          <w:rFonts w:hint="eastAsia" w:ascii="楷体" w:hAnsi="楷体" w:eastAsia="楷体"/>
          <w:b w:val="0"/>
          <w:bCs w:val="0"/>
          <w:sz w:val="24"/>
          <w:highlight w:val="none"/>
          <w:lang w:val="en-US" w:eastAsia="zh-CN"/>
        </w:rPr>
        <w:t>住所地：【】</w:t>
      </w:r>
    </w:p>
    <w:p>
      <w:pPr>
        <w:spacing w:line="560" w:lineRule="exact"/>
        <w:ind w:firstLine="480" w:firstLineChars="200"/>
        <w:jc w:val="left"/>
        <w:rPr>
          <w:rFonts w:hint="eastAsia" w:ascii="楷体" w:hAnsi="楷体" w:eastAsia="楷体"/>
          <w:b w:val="0"/>
          <w:bCs w:val="0"/>
          <w:sz w:val="24"/>
          <w:highlight w:val="none"/>
          <w:lang w:val="en-US" w:eastAsia="zh-CN"/>
        </w:rPr>
      </w:pPr>
    </w:p>
    <w:p>
      <w:pPr>
        <w:spacing w:line="560" w:lineRule="exact"/>
        <w:ind w:firstLine="480" w:firstLineChars="200"/>
        <w:rPr>
          <w:rFonts w:hint="eastAsia" w:ascii="楷体" w:hAnsi="楷体" w:eastAsia="楷体"/>
          <w:b w:val="0"/>
          <w:bCs w:val="0"/>
          <w:sz w:val="24"/>
          <w:highlight w:val="none"/>
        </w:rPr>
      </w:pPr>
      <w:r>
        <w:rPr>
          <w:rFonts w:hint="eastAsia" w:ascii="楷体" w:hAnsi="楷体" w:eastAsia="楷体"/>
          <w:b w:val="0"/>
          <w:bCs w:val="0"/>
          <w:sz w:val="24"/>
          <w:highlight w:val="none"/>
          <w:lang w:val="en-US" w:eastAsia="zh-CN"/>
        </w:rPr>
        <w:t>甲方与</w:t>
      </w:r>
      <w:r>
        <w:rPr>
          <w:rFonts w:hint="eastAsia" w:ascii="楷体" w:hAnsi="楷体" w:eastAsia="楷体"/>
          <w:b w:val="0"/>
          <w:bCs w:val="0"/>
          <w:sz w:val="24"/>
          <w:highlight w:val="none"/>
          <w:u w:val="single"/>
          <w:lang w:val="en-US" w:eastAsia="zh-CN"/>
        </w:rPr>
        <w:t xml:space="preserve">                    </w:t>
      </w:r>
      <w:r>
        <w:rPr>
          <w:rFonts w:hint="eastAsia" w:ascii="楷体" w:hAnsi="楷体" w:eastAsia="楷体"/>
          <w:b w:val="0"/>
          <w:bCs w:val="0"/>
          <w:sz w:val="24"/>
          <w:highlight w:val="none"/>
          <w:lang w:val="en-US" w:eastAsia="zh-CN"/>
        </w:rPr>
        <w:t>有限公司（以下简称“平台”）已签署编号为【】的《中信银行e管家业务合作协议》，甲方根据合作协议为平台及平台子商户提供e管家交易资金结算管理服务，</w:t>
      </w:r>
      <w:r>
        <w:rPr>
          <w:rFonts w:hint="eastAsia" w:ascii="楷体" w:hAnsi="楷体" w:eastAsia="楷体"/>
          <w:b w:val="0"/>
          <w:bCs w:val="0"/>
          <w:sz w:val="24"/>
          <w:highlight w:val="none"/>
        </w:rPr>
        <w:t>本协议是由</w:t>
      </w:r>
      <w:r>
        <w:rPr>
          <w:rFonts w:hint="eastAsia" w:ascii="楷体" w:hAnsi="楷体" w:eastAsia="楷体"/>
          <w:b w:val="0"/>
          <w:bCs w:val="0"/>
          <w:sz w:val="24"/>
          <w:highlight w:val="none"/>
          <w:lang w:val="en-US" w:eastAsia="zh-CN"/>
        </w:rPr>
        <w:t>甲方</w:t>
      </w:r>
      <w:r>
        <w:rPr>
          <w:rFonts w:hint="eastAsia" w:ascii="楷体" w:hAnsi="楷体" w:eastAsia="楷体"/>
          <w:b w:val="0"/>
          <w:bCs w:val="0"/>
          <w:sz w:val="24"/>
          <w:highlight w:val="none"/>
        </w:rPr>
        <w:t>与</w:t>
      </w:r>
      <w:r>
        <w:rPr>
          <w:rFonts w:hint="eastAsia" w:ascii="楷体" w:hAnsi="楷体" w:eastAsia="楷体"/>
          <w:b w:val="0"/>
          <w:bCs w:val="0"/>
          <w:sz w:val="24"/>
          <w:highlight w:val="none"/>
          <w:lang w:val="en-US" w:eastAsia="zh-CN"/>
        </w:rPr>
        <w:t>乙方</w:t>
      </w:r>
      <w:r>
        <w:rPr>
          <w:rFonts w:hint="eastAsia" w:ascii="楷体" w:hAnsi="楷体" w:eastAsia="楷体"/>
          <w:b w:val="0"/>
          <w:bCs w:val="0"/>
          <w:sz w:val="24"/>
          <w:highlight w:val="none"/>
        </w:rPr>
        <w:t>就e管家交易资金结算管理业务服务等相关事项所订立的有效合约。</w:t>
      </w:r>
    </w:p>
    <w:p>
      <w:pPr>
        <w:spacing w:line="560" w:lineRule="exact"/>
        <w:ind w:firstLine="482" w:firstLineChars="200"/>
        <w:jc w:val="center"/>
        <w:rPr>
          <w:rFonts w:ascii="楷体" w:hAnsi="楷体" w:eastAsia="楷体"/>
          <w:b/>
          <w:bCs/>
          <w:sz w:val="24"/>
          <w:highlight w:val="none"/>
        </w:rPr>
      </w:pPr>
      <w:r>
        <w:rPr>
          <w:rFonts w:hint="eastAsia" w:ascii="楷体" w:hAnsi="楷体" w:eastAsia="楷体"/>
          <w:b/>
          <w:bCs/>
          <w:sz w:val="24"/>
          <w:highlight w:val="none"/>
        </w:rPr>
        <w:t>特别</w:t>
      </w:r>
      <w:r>
        <w:rPr>
          <w:rFonts w:ascii="楷体" w:hAnsi="楷体" w:eastAsia="楷体"/>
          <w:b/>
          <w:bCs/>
          <w:sz w:val="24"/>
          <w:highlight w:val="none"/>
        </w:rPr>
        <w:t>提示</w:t>
      </w:r>
    </w:p>
    <w:p>
      <w:pPr>
        <w:spacing w:line="560" w:lineRule="exact"/>
        <w:ind w:firstLine="482" w:firstLineChars="200"/>
        <w:rPr>
          <w:rFonts w:hint="eastAsia" w:ascii="楷体" w:hAnsi="楷体" w:eastAsia="楷体"/>
          <w:b/>
          <w:bCs/>
          <w:sz w:val="24"/>
          <w:highlight w:val="none"/>
        </w:rPr>
      </w:pPr>
      <w:r>
        <w:rPr>
          <w:rFonts w:hint="eastAsia" w:ascii="楷体" w:hAnsi="楷体" w:eastAsia="楷体"/>
          <w:b/>
          <w:bCs/>
          <w:sz w:val="24"/>
          <w:highlight w:val="none"/>
        </w:rPr>
        <w:t>为了维护您</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本协议乙方</w:t>
      </w:r>
      <w:r>
        <w:rPr>
          <w:rFonts w:hint="eastAsia" w:ascii="楷体" w:hAnsi="楷体" w:eastAsia="楷体"/>
          <w:b/>
          <w:bCs/>
          <w:sz w:val="24"/>
          <w:highlight w:val="none"/>
          <w:lang w:eastAsia="zh-CN"/>
        </w:rPr>
        <w:t>）</w:t>
      </w:r>
      <w:r>
        <w:rPr>
          <w:rFonts w:hint="eastAsia" w:ascii="楷体" w:hAnsi="楷体" w:eastAsia="楷体"/>
          <w:b/>
          <w:bCs/>
          <w:sz w:val="24"/>
          <w:highlight w:val="none"/>
        </w:rPr>
        <w:t>的利益，请在签署本《中信银行e管家业务平台</w:t>
      </w:r>
      <w:r>
        <w:rPr>
          <w:rFonts w:hint="eastAsia" w:ascii="楷体" w:hAnsi="楷体" w:eastAsia="楷体"/>
          <w:b/>
          <w:bCs/>
          <w:sz w:val="24"/>
          <w:highlight w:val="none"/>
          <w:lang w:val="en-US" w:eastAsia="zh-CN"/>
        </w:rPr>
        <w:t>子商户</w:t>
      </w:r>
      <w:r>
        <w:rPr>
          <w:rFonts w:hint="eastAsia" w:ascii="楷体" w:hAnsi="楷体" w:eastAsia="楷体"/>
          <w:b/>
          <w:bCs/>
          <w:sz w:val="24"/>
          <w:highlight w:val="none"/>
        </w:rPr>
        <w:t>服务协议》（下称“本协议”）前，仔细阅读本协议的各条款，并特别注意如下事项：</w:t>
      </w:r>
    </w:p>
    <w:p>
      <w:pPr>
        <w:spacing w:line="560" w:lineRule="exact"/>
        <w:ind w:firstLine="482" w:firstLineChars="200"/>
        <w:rPr>
          <w:rFonts w:hint="eastAsia" w:ascii="楷体" w:hAnsi="楷体" w:eastAsia="楷体"/>
          <w:b/>
          <w:bCs/>
          <w:sz w:val="24"/>
          <w:highlight w:val="none"/>
        </w:rPr>
      </w:pPr>
      <w:r>
        <w:rPr>
          <w:rFonts w:hint="eastAsia" w:ascii="楷体" w:hAnsi="楷体" w:eastAsia="楷体"/>
          <w:b/>
          <w:bCs/>
          <w:sz w:val="24"/>
          <w:highlight w:val="none"/>
          <w:lang w:val="en-US" w:eastAsia="zh-CN"/>
        </w:rPr>
        <w:t>1.基于甲方与平台签订的《中信银行e管家业务合作协议》，以及乙方与平台的业务合作关系，甲方为平台及乙方提供交易资金结算管理相关服务。本协议由乙方与甲方签署，本协议签署且乙方通过平台在甲方开立资金登记簿后视为乙方同意接受甲方提供本协议项下相关服务，且乙方充分知悉和理解了本协议项下各方（甲方、乙方、平台）的各项权利义务。</w:t>
      </w:r>
    </w:p>
    <w:p>
      <w:pPr>
        <w:numPr>
          <w:ilvl w:val="0"/>
          <w:numId w:val="1"/>
        </w:numPr>
        <w:spacing w:line="560" w:lineRule="exac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乙方在平台渠道通过网络点击“签署”或“同意”的方式或通过线下方式签署本协议即表示乙方已充分知悉和理解本协议的全部内容并接受本协议的各项约束。</w:t>
      </w:r>
      <w:r>
        <w:rPr>
          <w:rFonts w:hint="eastAsia" w:ascii="楷体" w:hAnsi="楷体" w:eastAsia="楷体"/>
          <w:b/>
          <w:bCs/>
          <w:sz w:val="24"/>
          <w:highlight w:val="none"/>
        </w:rPr>
        <w:t>在接受本协议之前，</w:t>
      </w:r>
      <w:r>
        <w:rPr>
          <w:rFonts w:hint="eastAsia" w:ascii="楷体" w:hAnsi="楷体" w:eastAsia="楷体"/>
          <w:b/>
          <w:bCs/>
          <w:sz w:val="24"/>
          <w:highlight w:val="none"/>
          <w:lang w:val="en-US" w:eastAsia="zh-CN"/>
        </w:rPr>
        <w:t>乙方应</w:t>
      </w:r>
      <w:r>
        <w:rPr>
          <w:rFonts w:hint="eastAsia" w:ascii="楷体" w:hAnsi="楷体" w:eastAsia="楷体"/>
          <w:b/>
          <w:bCs/>
          <w:sz w:val="24"/>
          <w:highlight w:val="none"/>
        </w:rPr>
        <w:t>仔细阅读本协议的全部内容（特别是以</w:t>
      </w:r>
      <w:r>
        <w:rPr>
          <w:rFonts w:hint="eastAsia" w:ascii="楷体" w:hAnsi="楷体" w:eastAsia="楷体" w:cs="仿宋"/>
          <w:b/>
          <w:kern w:val="0"/>
          <w:sz w:val="24"/>
          <w:szCs w:val="24"/>
          <w:highlight w:val="none"/>
        </w:rPr>
        <w:t>加粗、加黑、突出显示</w:t>
      </w:r>
      <w:r>
        <w:rPr>
          <w:rFonts w:hint="eastAsia" w:ascii="楷体" w:hAnsi="楷体" w:eastAsia="楷体" w:cs="仿宋"/>
          <w:b/>
          <w:kern w:val="0"/>
          <w:sz w:val="24"/>
          <w:szCs w:val="24"/>
          <w:highlight w:val="none"/>
          <w:lang w:val="en-US" w:eastAsia="zh-CN"/>
        </w:rPr>
        <w:t>等</w:t>
      </w:r>
      <w:r>
        <w:rPr>
          <w:rFonts w:hint="eastAsia" w:ascii="楷体" w:hAnsi="楷体" w:eastAsia="楷体"/>
          <w:b/>
          <w:bCs/>
          <w:sz w:val="24"/>
          <w:highlight w:val="none"/>
          <w:lang w:val="en-US" w:eastAsia="zh-CN"/>
        </w:rPr>
        <w:t>方式</w:t>
      </w:r>
      <w:r>
        <w:rPr>
          <w:rFonts w:hint="eastAsia" w:ascii="楷体" w:hAnsi="楷体" w:eastAsia="楷体"/>
          <w:b/>
          <w:bCs/>
          <w:sz w:val="24"/>
          <w:highlight w:val="none"/>
        </w:rPr>
        <w:t>标注的内容）</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有权选择接受或不接受本协议条款</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如乙方选择不接受本协议，甲方将无法为乙方提供在平台上的交易资金结算管理业务相关服务。</w:t>
      </w:r>
    </w:p>
    <w:p>
      <w:pPr>
        <w:numPr>
          <w:ilvl w:val="0"/>
          <w:numId w:val="1"/>
        </w:numPr>
        <w:spacing w:line="560" w:lineRule="exac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乙方知悉并同意，乙方在本协议项下向甲方提交的指令需通过平台或平台授权的技术服务商系统与甲方系统接口对接或其他甲方认可的方式由平台向甲方提交，甲方根据平台提交的业务指令进行与乙方相关的业务操作，包括但不限于入金、划转、出金、查询及对账等，该等操作指令真实性、准确性、完整性、合法性、有效性均由平台负责，如该等指令未经乙方授权，或指令信息有误等，甲方不承担任何责任，由乙方与平台自行解决。</w:t>
      </w:r>
    </w:p>
    <w:p>
      <w:pPr>
        <w:numPr>
          <w:ilvl w:val="0"/>
          <w:numId w:val="1"/>
        </w:numPr>
        <w:spacing w:line="560" w:lineRule="exac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乙方通过平台在甲方开立的资金登记簿，是专门用于记载乙方在平台上的交易资金变动明细和余额的资金明细台账。该资金登记簿非真实银行账户，乙方与甲方之间不构成实际的存款法律关系，甲方仅根据平台发送的业务系统指令为乙方登记出入金明细及其他资金划转明细。</w:t>
      </w:r>
    </w:p>
    <w:p>
      <w:pPr>
        <w:numPr>
          <w:ilvl w:val="0"/>
          <w:numId w:val="1"/>
        </w:numPr>
        <w:spacing w:line="560" w:lineRule="exac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如甲方与平台签署的相关业务合作协议失效，或乙方与平台之间的服务协议失效或合作关系解除，则本协议也随之失效，乙方通过平台在甲方开立的资金登记簿随之作废。</w:t>
      </w:r>
    </w:p>
    <w:p>
      <w:pPr>
        <w:widowControl/>
        <w:jc w:val="left"/>
        <w:rPr>
          <w:rFonts w:hint="eastAsia" w:ascii="仿宋" w:hAnsi="仿宋" w:eastAsia="仿宋"/>
          <w:b/>
          <w:bCs/>
          <w:sz w:val="28"/>
          <w:szCs w:val="28"/>
        </w:rPr>
      </w:pPr>
    </w:p>
    <w:p>
      <w:pPr>
        <w:spacing w:line="560" w:lineRule="exact"/>
        <w:ind w:firstLine="482" w:firstLineChars="200"/>
        <w:rPr>
          <w:rFonts w:ascii="楷体" w:hAnsi="楷体" w:eastAsia="楷体"/>
          <w:b/>
          <w:bCs/>
          <w:sz w:val="24"/>
          <w:highlight w:val="none"/>
        </w:rPr>
      </w:pPr>
      <w:r>
        <w:rPr>
          <w:rFonts w:hint="eastAsia" w:ascii="楷体" w:hAnsi="楷体" w:eastAsia="楷体"/>
          <w:b/>
          <w:bCs/>
          <w:sz w:val="24"/>
          <w:highlight w:val="none"/>
        </w:rPr>
        <w:t>第一条 定义</w:t>
      </w:r>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lang w:eastAsia="zh-CN"/>
        </w:rPr>
        <w:t>（</w:t>
      </w:r>
      <w:r>
        <w:rPr>
          <w:rFonts w:hint="eastAsia" w:ascii="楷体" w:hAnsi="楷体" w:eastAsia="楷体"/>
          <w:sz w:val="24"/>
          <w:highlight w:val="none"/>
          <w:lang w:val="en-US" w:eastAsia="zh-CN"/>
        </w:rPr>
        <w:t>一</w:t>
      </w:r>
      <w:r>
        <w:rPr>
          <w:rFonts w:hint="eastAsia" w:ascii="楷体" w:hAnsi="楷体" w:eastAsia="楷体"/>
          <w:sz w:val="24"/>
          <w:highlight w:val="none"/>
          <w:lang w:eastAsia="zh-CN"/>
        </w:rPr>
        <w:t>）</w:t>
      </w:r>
      <w:r>
        <w:rPr>
          <w:rFonts w:hint="eastAsia" w:ascii="楷体" w:hAnsi="楷体" w:eastAsia="楷体"/>
          <w:sz w:val="24"/>
          <w:highlight w:val="none"/>
        </w:rPr>
        <w:t>甲方：</w:t>
      </w:r>
      <w:r>
        <w:rPr>
          <w:rFonts w:hint="eastAsia" w:ascii="楷体" w:hAnsi="楷体" w:eastAsia="楷体"/>
          <w:sz w:val="24"/>
          <w:highlight w:val="none"/>
          <w:lang w:val="en-US" w:eastAsia="zh-CN"/>
        </w:rPr>
        <w:t>指与平台签署《中信银行e管家业务合作协议》并为平台及乙方提供交易资金结算管理业务服务的</w:t>
      </w:r>
      <w:r>
        <w:rPr>
          <w:rFonts w:ascii="楷体" w:hAnsi="楷体" w:eastAsia="楷体"/>
          <w:sz w:val="24"/>
          <w:highlight w:val="none"/>
        </w:rPr>
        <w:t>中信银行股份</w:t>
      </w:r>
      <w:r>
        <w:rPr>
          <w:rFonts w:hint="eastAsia" w:ascii="楷体" w:hAnsi="楷体" w:eastAsia="楷体"/>
          <w:sz w:val="24"/>
          <w:highlight w:val="none"/>
        </w:rPr>
        <w:t>有限</w:t>
      </w:r>
      <w:r>
        <w:rPr>
          <w:rFonts w:ascii="楷体" w:hAnsi="楷体" w:eastAsia="楷体"/>
          <w:sz w:val="24"/>
          <w:highlight w:val="none"/>
        </w:rPr>
        <w:t>公司分支机构。</w:t>
      </w:r>
    </w:p>
    <w:p>
      <w:pPr>
        <w:spacing w:line="560" w:lineRule="exact"/>
        <w:ind w:firstLine="480" w:firstLineChars="200"/>
        <w:rPr>
          <w:rFonts w:ascii="楷体" w:hAnsi="楷体" w:eastAsia="楷体"/>
          <w:bCs/>
          <w:sz w:val="24"/>
          <w:highlight w:val="none"/>
        </w:rPr>
      </w:pPr>
      <w:r>
        <w:rPr>
          <w:rFonts w:hint="eastAsia" w:ascii="楷体" w:hAnsi="楷体" w:eastAsia="楷体"/>
          <w:sz w:val="24"/>
          <w:highlight w:val="none"/>
          <w:lang w:eastAsia="zh-CN"/>
        </w:rPr>
        <w:t>（</w:t>
      </w:r>
      <w:r>
        <w:rPr>
          <w:rFonts w:hint="eastAsia" w:ascii="楷体" w:hAnsi="楷体" w:eastAsia="楷体"/>
          <w:sz w:val="24"/>
          <w:highlight w:val="none"/>
          <w:lang w:val="en-US" w:eastAsia="zh-CN"/>
        </w:rPr>
        <w:t>二</w:t>
      </w:r>
      <w:r>
        <w:rPr>
          <w:rFonts w:hint="eastAsia" w:ascii="楷体" w:hAnsi="楷体" w:eastAsia="楷体"/>
          <w:sz w:val="24"/>
          <w:highlight w:val="none"/>
          <w:lang w:eastAsia="zh-CN"/>
        </w:rPr>
        <w:t>）</w:t>
      </w:r>
      <w:r>
        <w:rPr>
          <w:rFonts w:ascii="楷体" w:hAnsi="楷体" w:eastAsia="楷体"/>
          <w:sz w:val="24"/>
          <w:highlight w:val="none"/>
        </w:rPr>
        <w:t>乙</w:t>
      </w:r>
      <w:r>
        <w:rPr>
          <w:rFonts w:hint="eastAsia" w:ascii="楷体" w:hAnsi="楷体" w:eastAsia="楷体"/>
          <w:sz w:val="24"/>
          <w:highlight w:val="none"/>
        </w:rPr>
        <w:t>方：</w:t>
      </w:r>
      <w:r>
        <w:rPr>
          <w:rFonts w:hint="eastAsia" w:ascii="楷体" w:hAnsi="楷体" w:eastAsia="楷体"/>
          <w:sz w:val="24"/>
          <w:highlight w:val="none"/>
          <w:lang w:val="en-US" w:eastAsia="zh-CN"/>
        </w:rPr>
        <w:t>即平台子商户，是指符合平台准入条件加入平台业务经营体系，根据平台制定的交易规则进行相关商品或服务交易（含实体经营场所线下交易或使用平台/交易系统线上交易）的</w:t>
      </w:r>
      <w:r>
        <w:rPr>
          <w:rFonts w:hint="eastAsia" w:ascii="楷体" w:hAnsi="楷体" w:eastAsia="楷体"/>
          <w:b/>
          <w:bCs/>
          <w:sz w:val="24"/>
          <w:highlight w:val="none"/>
          <w:lang w:val="en-US" w:eastAsia="zh-CN"/>
        </w:rPr>
        <w:t>经营主体</w:t>
      </w:r>
      <w:r>
        <w:rPr>
          <w:rFonts w:hint="eastAsia" w:ascii="楷体" w:hAnsi="楷体" w:eastAsia="楷体"/>
          <w:sz w:val="24"/>
          <w:highlight w:val="none"/>
          <w:lang w:val="en-US" w:eastAsia="zh-CN"/>
        </w:rPr>
        <w:t>，</w:t>
      </w:r>
      <w:r>
        <w:rPr>
          <w:rFonts w:hint="eastAsia" w:ascii="楷体" w:hAnsi="楷体" w:eastAsia="楷体"/>
          <w:b/>
          <w:bCs/>
          <w:sz w:val="24"/>
          <w:highlight w:val="none"/>
          <w:lang w:val="en-US" w:eastAsia="zh-CN"/>
        </w:rPr>
        <w:t>包括个体工商户和企业</w:t>
      </w:r>
      <w:r>
        <w:rPr>
          <w:rFonts w:hint="eastAsia" w:ascii="楷体" w:hAnsi="楷体" w:eastAsia="楷体"/>
          <w:sz w:val="24"/>
          <w:highlight w:val="none"/>
          <w:lang w:val="en-US" w:eastAsia="zh-CN"/>
        </w:rPr>
        <w:t>。</w:t>
      </w:r>
    </w:p>
    <w:p>
      <w:pPr>
        <w:spacing w:line="560" w:lineRule="exact"/>
        <w:ind w:firstLine="480" w:firstLineChars="200"/>
        <w:rPr>
          <w:rFonts w:hint="eastAsia" w:ascii="楷体" w:hAnsi="楷体" w:eastAsia="楷体"/>
          <w:sz w:val="24"/>
          <w:highlight w:val="none"/>
        </w:rPr>
      </w:pPr>
      <w:r>
        <w:rPr>
          <w:rFonts w:hint="eastAsia" w:ascii="楷体" w:hAnsi="楷体" w:eastAsia="楷体"/>
          <w:sz w:val="24"/>
          <w:highlight w:val="none"/>
          <w:lang w:val="en-US" w:eastAsia="zh-CN"/>
        </w:rPr>
        <w:t>（三）</w:t>
      </w:r>
      <w:r>
        <w:rPr>
          <w:rFonts w:hint="eastAsia" w:ascii="楷体" w:hAnsi="楷体" w:eastAsia="楷体"/>
          <w:sz w:val="24"/>
          <w:highlight w:val="none"/>
        </w:rPr>
        <w:t>e管家：是指中信银行为平台</w:t>
      </w:r>
      <w:r>
        <w:rPr>
          <w:rFonts w:hint="eastAsia" w:ascii="楷体" w:hAnsi="楷体" w:eastAsia="楷体"/>
          <w:sz w:val="24"/>
          <w:highlight w:val="none"/>
          <w:lang w:val="en-US" w:eastAsia="zh-CN"/>
        </w:rPr>
        <w:t>及平台子商户</w:t>
      </w:r>
      <w:r>
        <w:rPr>
          <w:rFonts w:hint="eastAsia" w:ascii="楷体" w:hAnsi="楷体" w:eastAsia="楷体"/>
          <w:sz w:val="24"/>
          <w:highlight w:val="none"/>
        </w:rPr>
        <w:t>提供的集交易资金代收、用户信息管理、交易资金管理、交易资金结算、查询对账等服务于一体的线上全流程交易资金结算管理产品。</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（四）</w:t>
      </w:r>
      <w:r>
        <w:rPr>
          <w:rFonts w:hint="eastAsia" w:ascii="楷体" w:hAnsi="楷体" w:eastAsia="楷体"/>
          <w:sz w:val="24"/>
          <w:highlight w:val="none"/>
        </w:rPr>
        <w:t>交易资金账户：是指</w:t>
      </w:r>
      <w:r>
        <w:rPr>
          <w:rFonts w:hint="eastAsia" w:ascii="楷体" w:hAnsi="楷体" w:eastAsia="楷体"/>
          <w:sz w:val="24"/>
          <w:highlight w:val="none"/>
          <w:lang w:val="en-US" w:eastAsia="zh-CN"/>
        </w:rPr>
        <w:t>甲方</w:t>
      </w:r>
      <w:r>
        <w:rPr>
          <w:rFonts w:hint="eastAsia" w:ascii="楷体" w:hAnsi="楷体" w:eastAsia="楷体"/>
          <w:sz w:val="24"/>
          <w:highlight w:val="none"/>
        </w:rPr>
        <w:t>为</w:t>
      </w:r>
      <w:r>
        <w:rPr>
          <w:rFonts w:hint="eastAsia" w:ascii="楷体" w:hAnsi="楷体" w:eastAsia="楷体"/>
          <w:sz w:val="24"/>
          <w:highlight w:val="none"/>
          <w:lang w:val="en-US" w:eastAsia="zh-CN"/>
        </w:rPr>
        <w:t>平台开立</w:t>
      </w:r>
      <w:r>
        <w:rPr>
          <w:rFonts w:hint="eastAsia" w:ascii="楷体" w:hAnsi="楷体" w:eastAsia="楷体"/>
          <w:sz w:val="24"/>
          <w:highlight w:val="none"/>
        </w:rPr>
        <w:t>的银行专用内部账户</w:t>
      </w:r>
      <w:r>
        <w:rPr>
          <w:rFonts w:hint="eastAsia" w:ascii="楷体" w:hAnsi="楷体" w:eastAsia="楷体"/>
          <w:sz w:val="24"/>
          <w:highlight w:val="none"/>
          <w:lang w:val="en-US" w:eastAsia="zh-CN"/>
        </w:rPr>
        <w:t>或平台企业</w:t>
      </w:r>
      <w:r>
        <w:rPr>
          <w:rFonts w:hint="eastAsia" w:ascii="楷体" w:hAnsi="楷体" w:eastAsia="楷体"/>
          <w:sz w:val="24"/>
          <w:highlight w:val="none"/>
        </w:rPr>
        <w:t>在</w:t>
      </w:r>
      <w:r>
        <w:rPr>
          <w:rFonts w:hint="eastAsia" w:ascii="楷体" w:hAnsi="楷体" w:eastAsia="楷体"/>
          <w:sz w:val="24"/>
          <w:highlight w:val="none"/>
          <w:lang w:val="en-US" w:eastAsia="zh-CN"/>
        </w:rPr>
        <w:t>甲方</w:t>
      </w:r>
      <w:r>
        <w:rPr>
          <w:rFonts w:hint="eastAsia" w:ascii="楷体" w:hAnsi="楷体" w:eastAsia="楷体"/>
          <w:sz w:val="24"/>
          <w:highlight w:val="none"/>
        </w:rPr>
        <w:t>开立的单位银行结算账户，专门用于核算</w:t>
      </w:r>
      <w:r>
        <w:rPr>
          <w:rFonts w:hint="eastAsia" w:ascii="楷体" w:hAnsi="楷体" w:eastAsia="楷体"/>
          <w:sz w:val="24"/>
          <w:highlight w:val="none"/>
          <w:lang w:val="en-US" w:eastAsia="zh-CN"/>
        </w:rPr>
        <w:t>平台子商户</w:t>
      </w:r>
      <w:r>
        <w:rPr>
          <w:rFonts w:hint="eastAsia" w:ascii="楷体" w:hAnsi="楷体" w:eastAsia="楷体"/>
          <w:sz w:val="24"/>
          <w:highlight w:val="none"/>
        </w:rPr>
        <w:t>交易资金，</w:t>
      </w:r>
      <w:r>
        <w:rPr>
          <w:rFonts w:hint="eastAsia" w:ascii="楷体" w:hAnsi="楷体" w:eastAsia="楷体"/>
          <w:sz w:val="24"/>
          <w:highlight w:val="none"/>
          <w:lang w:val="en-US" w:eastAsia="zh-CN"/>
        </w:rPr>
        <w:t>平台</w:t>
      </w:r>
      <w:r>
        <w:rPr>
          <w:rFonts w:hint="eastAsia" w:ascii="楷体" w:hAnsi="楷体" w:eastAsia="楷体"/>
          <w:sz w:val="24"/>
          <w:highlight w:val="none"/>
        </w:rPr>
        <w:t>根据</w:t>
      </w:r>
      <w:r>
        <w:rPr>
          <w:rFonts w:hint="eastAsia" w:ascii="楷体" w:hAnsi="楷体" w:eastAsia="楷体"/>
          <w:sz w:val="24"/>
          <w:highlight w:val="none"/>
          <w:lang w:val="en-US" w:eastAsia="zh-CN"/>
        </w:rPr>
        <w:t>子商户</w:t>
      </w:r>
      <w:r>
        <w:rPr>
          <w:rFonts w:hint="eastAsia" w:ascii="楷体" w:hAnsi="楷体" w:eastAsia="楷体"/>
          <w:sz w:val="24"/>
          <w:highlight w:val="none"/>
        </w:rPr>
        <w:t>授权，通过与</w:t>
      </w:r>
      <w:r>
        <w:rPr>
          <w:rFonts w:hint="eastAsia" w:ascii="楷体" w:hAnsi="楷体" w:eastAsia="楷体"/>
          <w:sz w:val="24"/>
          <w:highlight w:val="none"/>
          <w:lang w:val="en-US" w:eastAsia="zh-CN"/>
        </w:rPr>
        <w:t>甲方</w:t>
      </w:r>
      <w:r>
        <w:rPr>
          <w:rFonts w:hint="eastAsia" w:ascii="楷体" w:hAnsi="楷体" w:eastAsia="楷体"/>
          <w:sz w:val="24"/>
          <w:highlight w:val="none"/>
        </w:rPr>
        <w:t>对接的系统向</w:t>
      </w:r>
      <w:r>
        <w:rPr>
          <w:rFonts w:hint="eastAsia" w:ascii="楷体" w:hAnsi="楷体" w:eastAsia="楷体"/>
          <w:sz w:val="24"/>
          <w:highlight w:val="none"/>
          <w:lang w:val="en-US" w:eastAsia="zh-CN"/>
        </w:rPr>
        <w:t>甲方</w:t>
      </w:r>
      <w:r>
        <w:rPr>
          <w:rFonts w:hint="eastAsia" w:ascii="楷体" w:hAnsi="楷体" w:eastAsia="楷体"/>
          <w:sz w:val="24"/>
          <w:highlight w:val="none"/>
        </w:rPr>
        <w:t>发送e管家业务系统指令来转移账户资金。交易资金账户仅用于接收e管家业务相关资金汇入。</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（五）</w:t>
      </w:r>
      <w:r>
        <w:rPr>
          <w:rFonts w:hint="eastAsia" w:ascii="楷体" w:hAnsi="楷体" w:eastAsia="楷体"/>
          <w:sz w:val="24"/>
          <w:highlight w:val="none"/>
        </w:rPr>
        <w:t>资金登记簿：是指</w:t>
      </w:r>
      <w:r>
        <w:rPr>
          <w:rFonts w:hint="eastAsia" w:ascii="楷体" w:hAnsi="楷体" w:eastAsia="楷体"/>
          <w:sz w:val="24"/>
          <w:highlight w:val="none"/>
          <w:lang w:val="en-US" w:eastAsia="zh-CN"/>
        </w:rPr>
        <w:t>甲方</w:t>
      </w:r>
      <w:r>
        <w:rPr>
          <w:rFonts w:hint="eastAsia" w:ascii="楷体" w:hAnsi="楷体" w:eastAsia="楷体"/>
          <w:sz w:val="24"/>
          <w:highlight w:val="none"/>
        </w:rPr>
        <w:t>基于</w:t>
      </w:r>
      <w:r>
        <w:rPr>
          <w:rFonts w:hint="eastAsia" w:ascii="楷体" w:hAnsi="楷体" w:eastAsia="楷体"/>
          <w:sz w:val="24"/>
          <w:highlight w:val="none"/>
          <w:lang w:val="en-US" w:eastAsia="zh-CN"/>
        </w:rPr>
        <w:t>平台的</w:t>
      </w:r>
      <w:r>
        <w:rPr>
          <w:rFonts w:hint="eastAsia" w:ascii="楷体" w:hAnsi="楷体" w:eastAsia="楷体"/>
          <w:sz w:val="24"/>
          <w:highlight w:val="none"/>
        </w:rPr>
        <w:t>交易资金账户为</w:t>
      </w:r>
      <w:r>
        <w:rPr>
          <w:rFonts w:hint="eastAsia" w:ascii="楷体" w:hAnsi="楷体" w:eastAsia="楷体"/>
          <w:sz w:val="24"/>
          <w:highlight w:val="none"/>
          <w:lang w:val="en-US" w:eastAsia="zh-CN"/>
        </w:rPr>
        <w:t>平台和平台子商户建立的</w:t>
      </w:r>
      <w:r>
        <w:rPr>
          <w:rFonts w:hint="eastAsia" w:ascii="楷体" w:hAnsi="楷体" w:eastAsia="楷体"/>
          <w:sz w:val="24"/>
          <w:highlight w:val="none"/>
        </w:rPr>
        <w:t>专门用于记载其交易资金变动明细和余额的资金明细台账</w:t>
      </w:r>
      <w:r>
        <w:rPr>
          <w:rFonts w:hint="eastAsia" w:ascii="楷体" w:hAnsi="楷体" w:eastAsia="楷体"/>
          <w:sz w:val="24"/>
          <w:highlight w:val="none"/>
          <w:lang w:eastAsia="zh-CN"/>
        </w:rPr>
        <w:t>。</w:t>
      </w:r>
      <w:r>
        <w:rPr>
          <w:rFonts w:hint="eastAsia" w:ascii="楷体" w:hAnsi="楷体" w:eastAsia="楷体"/>
          <w:sz w:val="24"/>
          <w:highlight w:val="none"/>
        </w:rPr>
        <w:t>该资金明细登记簿非真实银行账户，</w:t>
      </w:r>
      <w:r>
        <w:rPr>
          <w:rFonts w:hint="eastAsia" w:ascii="楷体" w:hAnsi="楷体" w:eastAsia="楷体"/>
          <w:sz w:val="24"/>
          <w:highlight w:val="none"/>
          <w:lang w:val="en-US" w:eastAsia="zh-CN"/>
        </w:rPr>
        <w:t>平台、平台子商户</w:t>
      </w:r>
      <w:r>
        <w:rPr>
          <w:rFonts w:hint="eastAsia" w:ascii="楷体" w:hAnsi="楷体" w:eastAsia="楷体"/>
          <w:sz w:val="24"/>
          <w:highlight w:val="none"/>
        </w:rPr>
        <w:t>与甲方之间不构成实际的存款法律关系，甲方仅根据</w:t>
      </w:r>
      <w:r>
        <w:rPr>
          <w:rFonts w:hint="eastAsia" w:ascii="楷体" w:hAnsi="楷体" w:eastAsia="楷体"/>
          <w:sz w:val="24"/>
          <w:highlight w:val="none"/>
          <w:lang w:eastAsia="zh-CN"/>
        </w:rPr>
        <w:t>平台</w:t>
      </w:r>
      <w:r>
        <w:rPr>
          <w:rFonts w:hint="eastAsia" w:ascii="楷体" w:hAnsi="楷体" w:eastAsia="楷体"/>
          <w:sz w:val="24"/>
          <w:highlight w:val="none"/>
        </w:rPr>
        <w:t>发送的业务系统指令为</w:t>
      </w:r>
      <w:r>
        <w:rPr>
          <w:rFonts w:hint="eastAsia" w:ascii="楷体" w:hAnsi="楷体" w:eastAsia="楷体"/>
          <w:sz w:val="24"/>
          <w:highlight w:val="none"/>
          <w:lang w:val="en-US" w:eastAsia="zh-CN"/>
        </w:rPr>
        <w:t>平台子商户</w:t>
      </w:r>
      <w:r>
        <w:rPr>
          <w:rFonts w:hint="eastAsia" w:ascii="楷体" w:hAnsi="楷体" w:eastAsia="楷体"/>
          <w:sz w:val="24"/>
          <w:highlight w:val="none"/>
        </w:rPr>
        <w:t>登记出入金明细及其他资金划转明细。</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（六）</w:t>
      </w:r>
      <w:r>
        <w:rPr>
          <w:rFonts w:hint="eastAsia" w:ascii="楷体" w:hAnsi="楷体" w:eastAsia="楷体"/>
          <w:sz w:val="24"/>
          <w:highlight w:val="none"/>
        </w:rPr>
        <w:t>业务订单：是指</w:t>
      </w:r>
      <w:r>
        <w:rPr>
          <w:rFonts w:hint="eastAsia" w:ascii="楷体" w:hAnsi="楷体" w:eastAsia="楷体"/>
          <w:sz w:val="24"/>
          <w:highlight w:val="none"/>
          <w:lang w:val="en-US" w:eastAsia="zh-CN"/>
        </w:rPr>
        <w:t>乙方在平台上发生</w:t>
      </w:r>
      <w:r>
        <w:rPr>
          <w:rFonts w:hint="eastAsia" w:ascii="楷体" w:hAnsi="楷体" w:eastAsia="楷体"/>
          <w:sz w:val="24"/>
          <w:highlight w:val="none"/>
        </w:rPr>
        <w:t>交易的真实业务信息描述，作为一次交易的唯一描述对象</w:t>
      </w:r>
      <w:r>
        <w:rPr>
          <w:rFonts w:hint="eastAsia" w:ascii="楷体" w:hAnsi="楷体" w:eastAsia="楷体"/>
          <w:sz w:val="24"/>
          <w:highlight w:val="none"/>
          <w:lang w:eastAsia="zh-CN"/>
        </w:rPr>
        <w:t>，</w:t>
      </w:r>
      <w:r>
        <w:rPr>
          <w:rFonts w:hint="eastAsia" w:ascii="楷体" w:hAnsi="楷体" w:eastAsia="楷体"/>
          <w:sz w:val="24"/>
          <w:highlight w:val="none"/>
        </w:rPr>
        <w:t>业务订单编号用于标识一个订单，具有唯一性</w:t>
      </w:r>
      <w:r>
        <w:rPr>
          <w:rFonts w:hint="eastAsia" w:ascii="楷体" w:hAnsi="楷体" w:eastAsia="楷体"/>
          <w:sz w:val="24"/>
          <w:highlight w:val="none"/>
        </w:rPr>
        <w:t>。</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（七）平台子商户</w:t>
      </w:r>
      <w:r>
        <w:rPr>
          <w:rFonts w:hint="eastAsia" w:ascii="楷体" w:hAnsi="楷体" w:eastAsia="楷体"/>
          <w:sz w:val="24"/>
          <w:highlight w:val="none"/>
        </w:rPr>
        <w:t>结算账户：是指</w:t>
      </w:r>
      <w:r>
        <w:rPr>
          <w:rFonts w:hint="eastAsia" w:ascii="楷体" w:hAnsi="楷体" w:eastAsia="楷体"/>
          <w:sz w:val="24"/>
          <w:highlight w:val="none"/>
          <w:lang w:val="en-US" w:eastAsia="zh-CN"/>
        </w:rPr>
        <w:t>乙方</w:t>
      </w:r>
      <w:r>
        <w:rPr>
          <w:rFonts w:hint="eastAsia" w:ascii="楷体" w:hAnsi="楷体" w:eastAsia="楷体"/>
          <w:sz w:val="24"/>
          <w:highlight w:val="none"/>
        </w:rPr>
        <w:t>用于划转资金及接收提现资金而绑定的银行结算账户。</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（八）</w:t>
      </w:r>
      <w:r>
        <w:rPr>
          <w:rFonts w:hint="eastAsia" w:ascii="楷体" w:hAnsi="楷体" w:eastAsia="楷体"/>
          <w:sz w:val="24"/>
          <w:highlight w:val="none"/>
        </w:rPr>
        <w:t>绑卡：是指将</w:t>
      </w:r>
      <w:r>
        <w:rPr>
          <w:rFonts w:hint="eastAsia" w:ascii="楷体" w:hAnsi="楷体" w:eastAsia="楷体"/>
          <w:sz w:val="24"/>
          <w:highlight w:val="none"/>
          <w:lang w:val="en-US" w:eastAsia="zh-CN"/>
        </w:rPr>
        <w:t>平台子商户</w:t>
      </w:r>
      <w:r>
        <w:rPr>
          <w:rFonts w:hint="eastAsia" w:ascii="楷体" w:hAnsi="楷体" w:eastAsia="楷体"/>
          <w:sz w:val="24"/>
          <w:highlight w:val="none"/>
        </w:rPr>
        <w:t>资金登记簿与</w:t>
      </w:r>
      <w:r>
        <w:rPr>
          <w:rFonts w:hint="eastAsia" w:ascii="楷体" w:hAnsi="楷体" w:eastAsia="楷体"/>
          <w:sz w:val="24"/>
          <w:highlight w:val="none"/>
          <w:lang w:val="en-US" w:eastAsia="zh-CN"/>
        </w:rPr>
        <w:t>其</w:t>
      </w:r>
      <w:r>
        <w:rPr>
          <w:rFonts w:hint="eastAsia" w:ascii="楷体" w:hAnsi="楷体" w:eastAsia="楷体"/>
          <w:sz w:val="24"/>
          <w:highlight w:val="none"/>
        </w:rPr>
        <w:t>结算账户建立绑定关系，绑定后可以将</w:t>
      </w:r>
      <w:r>
        <w:rPr>
          <w:rFonts w:hint="eastAsia" w:ascii="楷体" w:hAnsi="楷体" w:eastAsia="楷体"/>
          <w:sz w:val="24"/>
          <w:highlight w:val="none"/>
          <w:lang w:val="en-US" w:eastAsia="zh-CN"/>
        </w:rPr>
        <w:t>该</w:t>
      </w:r>
      <w:r>
        <w:rPr>
          <w:rFonts w:hint="eastAsia" w:ascii="楷体" w:hAnsi="楷体" w:eastAsia="楷体"/>
          <w:sz w:val="24"/>
          <w:highlight w:val="none"/>
        </w:rPr>
        <w:t>资金登记簿余额提现至对应的</w:t>
      </w:r>
      <w:r>
        <w:rPr>
          <w:rFonts w:hint="eastAsia" w:ascii="楷体" w:hAnsi="楷体" w:eastAsia="楷体"/>
          <w:sz w:val="24"/>
          <w:highlight w:val="none"/>
          <w:lang w:val="en-US" w:eastAsia="zh-CN"/>
        </w:rPr>
        <w:t>银行</w:t>
      </w:r>
      <w:r>
        <w:rPr>
          <w:rFonts w:hint="eastAsia" w:ascii="楷体" w:hAnsi="楷体" w:eastAsia="楷体"/>
          <w:sz w:val="24"/>
          <w:highlight w:val="none"/>
        </w:rPr>
        <w:t>结算账户。</w:t>
      </w:r>
    </w:p>
    <w:p>
      <w:pPr>
        <w:spacing w:line="560" w:lineRule="exact"/>
        <w:ind w:firstLine="480"/>
        <w:rPr>
          <w:rFonts w:hint="eastAsia" w:ascii="楷体" w:hAnsi="楷体" w:eastAsia="楷体"/>
          <w:sz w:val="24"/>
          <w:highlight w:val="none"/>
        </w:rPr>
      </w:pPr>
      <w:r>
        <w:rPr>
          <w:rFonts w:hint="eastAsia" w:ascii="楷体" w:hAnsi="楷体" w:eastAsia="楷体"/>
          <w:sz w:val="24"/>
          <w:highlight w:val="none"/>
          <w:lang w:val="en-US" w:eastAsia="zh-CN"/>
        </w:rPr>
        <w:t>（九）</w:t>
      </w:r>
      <w:r>
        <w:rPr>
          <w:rFonts w:hint="eastAsia" w:ascii="楷体" w:hAnsi="楷体" w:eastAsia="楷体"/>
          <w:sz w:val="24"/>
          <w:highlight w:val="none"/>
        </w:rPr>
        <w:t>提现：是指</w:t>
      </w:r>
      <w:r>
        <w:rPr>
          <w:rFonts w:hint="eastAsia" w:ascii="楷体" w:hAnsi="楷体" w:eastAsia="楷体"/>
          <w:sz w:val="24"/>
          <w:highlight w:val="none"/>
          <w:lang w:val="en-US" w:eastAsia="zh-CN"/>
        </w:rPr>
        <w:t>乙方</w:t>
      </w:r>
      <w:r>
        <w:rPr>
          <w:rFonts w:hint="eastAsia" w:ascii="楷体" w:hAnsi="楷体" w:eastAsia="楷体"/>
          <w:sz w:val="24"/>
          <w:highlight w:val="none"/>
        </w:rPr>
        <w:t>通过</w:t>
      </w:r>
      <w:r>
        <w:rPr>
          <w:rFonts w:hint="eastAsia" w:ascii="楷体" w:hAnsi="楷体" w:eastAsia="楷体"/>
          <w:sz w:val="24"/>
          <w:highlight w:val="none"/>
          <w:lang w:val="en-US" w:eastAsia="zh-CN"/>
        </w:rPr>
        <w:t>平台</w:t>
      </w:r>
      <w:r>
        <w:rPr>
          <w:rFonts w:hint="eastAsia" w:ascii="楷体" w:hAnsi="楷体" w:eastAsia="楷体"/>
          <w:sz w:val="24"/>
          <w:highlight w:val="none"/>
        </w:rPr>
        <w:t>发起支付指令后相关资金划转入</w:t>
      </w:r>
      <w:r>
        <w:rPr>
          <w:rFonts w:hint="eastAsia" w:ascii="楷体" w:hAnsi="楷体" w:eastAsia="楷体"/>
          <w:sz w:val="24"/>
          <w:highlight w:val="none"/>
          <w:lang w:val="en-US" w:eastAsia="zh-CN"/>
        </w:rPr>
        <w:t>其绑定的银行</w:t>
      </w:r>
      <w:r>
        <w:rPr>
          <w:rFonts w:hint="eastAsia" w:ascii="楷体" w:hAnsi="楷体" w:eastAsia="楷体"/>
          <w:sz w:val="24"/>
          <w:highlight w:val="none"/>
        </w:rPr>
        <w:t>结算账户的过程。</w:t>
      </w:r>
    </w:p>
    <w:p>
      <w:pPr>
        <w:spacing w:line="560" w:lineRule="exact"/>
        <w:ind w:firstLine="482" w:firstLineChars="200"/>
        <w:rPr>
          <w:rFonts w:hint="eastAsia" w:ascii="楷体" w:hAnsi="楷体" w:eastAsia="楷体"/>
          <w:b/>
          <w:bCs/>
          <w:sz w:val="24"/>
          <w:highlight w:val="none"/>
        </w:rPr>
      </w:pPr>
      <w:r>
        <w:rPr>
          <w:rFonts w:hint="eastAsia" w:ascii="楷体" w:hAnsi="楷体" w:eastAsia="楷体"/>
          <w:b/>
          <w:bCs/>
          <w:sz w:val="24"/>
          <w:highlight w:val="none"/>
        </w:rPr>
        <w:t>第</w:t>
      </w:r>
      <w:r>
        <w:rPr>
          <w:rFonts w:hint="eastAsia" w:ascii="楷体" w:hAnsi="楷体" w:eastAsia="楷体"/>
          <w:b/>
          <w:bCs/>
          <w:sz w:val="24"/>
          <w:highlight w:val="none"/>
          <w:lang w:val="en-US" w:eastAsia="zh-CN"/>
        </w:rPr>
        <w:t>二</w:t>
      </w:r>
      <w:r>
        <w:rPr>
          <w:rFonts w:hint="eastAsia" w:ascii="楷体" w:hAnsi="楷体" w:eastAsia="楷体"/>
          <w:b/>
          <w:bCs/>
          <w:sz w:val="24"/>
          <w:highlight w:val="none"/>
        </w:rPr>
        <w:t>条 甲方权利义务</w:t>
      </w:r>
    </w:p>
    <w:p>
      <w:pPr>
        <w:adjustRightInd w:val="0"/>
        <w:snapToGrid w:val="0"/>
        <w:spacing w:line="560" w:lineRule="atLeast"/>
        <w:ind w:firstLine="480" w:firstLineChars="200"/>
        <w:rPr>
          <w:rFonts w:hint="eastAsia" w:ascii="楷体" w:hAnsi="楷体" w:eastAsia="楷体"/>
          <w:b w:val="0"/>
          <w:bCs w:val="0"/>
          <w:sz w:val="24"/>
          <w:highlight w:val="none"/>
          <w:lang w:val="en-US" w:eastAsia="zh-CN"/>
        </w:rPr>
      </w:pPr>
      <w:r>
        <w:rPr>
          <w:rFonts w:hint="eastAsia" w:ascii="楷体" w:hAnsi="楷体" w:eastAsia="楷体"/>
          <w:b w:val="0"/>
          <w:bCs w:val="0"/>
          <w:sz w:val="24"/>
          <w:highlight w:val="none"/>
          <w:lang w:val="en-US" w:eastAsia="zh-CN"/>
        </w:rPr>
        <w:t>（一）</w:t>
      </w:r>
      <w:r>
        <w:rPr>
          <w:rFonts w:hint="eastAsia" w:ascii="楷体" w:hAnsi="楷体" w:eastAsia="楷体"/>
          <w:sz w:val="24"/>
          <w:highlight w:val="none"/>
          <w:lang w:val="en-US" w:eastAsia="zh-CN"/>
        </w:rPr>
        <w:t>甲方为平台及乙方提供平台交易资金结算管理相关服务，按照平台通过系统接口发送的申请或指令以及其他甲方认可的方式接受的平台指令为乙方办理资金划转及账务明细登记等业务</w:t>
      </w:r>
      <w:r>
        <w:rPr>
          <w:rFonts w:hint="eastAsia" w:ascii="楷体" w:hAnsi="楷体" w:eastAsia="楷体"/>
          <w:b w:val="0"/>
          <w:bCs w:val="0"/>
          <w:sz w:val="24"/>
          <w:highlight w:val="none"/>
          <w:lang w:val="en-US" w:eastAsia="zh-CN"/>
        </w:rPr>
        <w:t>。</w:t>
      </w:r>
    </w:p>
    <w:p>
      <w:pPr>
        <w:adjustRightInd w:val="0"/>
        <w:snapToGrid w:val="0"/>
        <w:spacing w:line="560" w:lineRule="atLeas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二）如乙方在平台业务经营活动中，存在违约违规行为或存在因在平台交易而产生的应向平台履行付款义务而未履行的，甲方有权根据平台指令对乙方的交易资金进行冻结或扣划。对乙方与平台在交易过程中产生的一切纠纷，甲方不承担任何责任，由乙方与平台自行解决。</w:t>
      </w:r>
    </w:p>
    <w:p>
      <w:pPr>
        <w:adjustRightInd w:val="0"/>
        <w:snapToGrid w:val="0"/>
        <w:spacing w:line="560" w:lineRule="atLeast"/>
        <w:ind w:firstLine="482" w:firstLineChars="20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三）甲方不提供任何含有甲方对乙方及平台所涉交易资金进行资金监管、托管、存管等在内的服务及职责，甲方提供的本协议项下服务，不应被视为对乙方及平台和其他相关方本身、交易本身以及其他相关行为提供任何形式的承诺或保证\担保。甲方不对乙方通过任何方式投入平台交易资金账户的交易资金本金及可能发生的本金受损、交易失败、交易纠纷引起的交易资金受损、或乙方购买平台自行推出或与其他第三方联合推出的各类商品和服务而引起的交易资金受损等承担任何形式的保证或承诺，不承担乙方及平台对交易资金管理运用和处分而引起的任何风险或责任，乙方须自行承担责任和风险。</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四）甲方提供的服务受平台及平台交易资金账户的制约，如平台交易资金账户因挂失、止付、冻结、扣划等原因不能使用或余额不足，甲方有权中止或终止本协议项下相关服务，乙方同意由其与平台自行协商解决。</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五）甲方提供的服务受到乙方自身及乙方与平台合作关系的制约，如因包括但不限于乙方与平台发生纠纷、乙方在平台端账号被限制交易、乙方向平台提交的资料不规范或不合法、乙方在平台上发生违法违规行为等原因，导致甲方无法为乙方提供本协议项下相关服务的，由乙方与平台自行协商解决，甲方不承担相关责任。</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六）因不可归咎于甲方的原因导致乙方或平台中止/终止使用本协议项下服务的，因此导致的乙方无法完成收款、资金结算等相关服务的，乙方和平台自行协商解决，甲方不承担相关责任。若因此导致甲方遭受损失的，甲方有权要求乙方或平台赔偿。</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（七）甲方因以下情况没有执行、未正确执行或未在约定时间内执行乙方或平台指令的，甲方不承担责任：</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1.甲方接收到平台及其授权技术服务商服务系统的指令信息不明、存在乱码、不完整、无法辨认或存在明显信息不匹配等错误的；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2.乙方或平台交易资金账户被止付、冻结或被有权机关采取其它限制性措施；</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3.平台交易资金账户、自有资金账户或用户资金登记簿余额不足、被依法冻结或被有权机关采取其它限制性措施的，无法完成资金划转或其他操作的；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4.乙方或平台操作不当或操作失误的；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5.由于平台或其授权的技术服务商服务系统导致的其他错误情况；</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6.不可抗力或其它不可归因于甲方的情况。</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八）乙方授权甲方有权从平台及其授权的技术服务商服务系统获取、查询、下载、复制、打印、使用甲方的账户及交易信息，包括但不限于开户资料、交易流水、对账单等，用于甲方为乙方办理本协议项下业务或办理必要的公证手续使用，及作为资料/证据材料向监管机关、司法机关、仲裁机构提交。甲方有权按照相关法律法规和甲方业务规定的要求，对乙方及乙方通过平台提交的各类文件、资料和信息进行审核。</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（九）甲方有权根据国家相关法律法规、监管要求或自身风险管控要求，针对本协议项下的合作业务制定风险管控策略，并据此对相关账户/交易实施管控，或开展业务检查等，乙方应予以理解并提供必要配合。</w:t>
      </w:r>
    </w:p>
    <w:p>
      <w:pPr>
        <w:spacing w:line="560" w:lineRule="exact"/>
        <w:ind w:firstLine="480"/>
        <w:rPr>
          <w:rFonts w:hint="default" w:ascii="楷体" w:hAnsi="楷体" w:eastAsia="楷体"/>
          <w:b/>
          <w:bCs/>
          <w:sz w:val="24"/>
          <w:highlight w:val="none"/>
          <w:lang w:val="en-US" w:eastAsia="zh-CN"/>
        </w:rPr>
      </w:pPr>
      <w:r>
        <w:rPr>
          <w:rFonts w:hint="default" w:ascii="楷体" w:hAnsi="楷体" w:eastAsia="楷体"/>
          <w:b/>
          <w:bCs/>
          <w:sz w:val="24"/>
          <w:highlight w:val="none"/>
          <w:lang w:val="en-US" w:eastAsia="zh-CN"/>
        </w:rPr>
        <w:t>（</w:t>
      </w:r>
      <w:r>
        <w:rPr>
          <w:rFonts w:hint="eastAsia" w:ascii="楷体" w:hAnsi="楷体" w:eastAsia="楷体"/>
          <w:b/>
          <w:bCs/>
          <w:sz w:val="24"/>
          <w:highlight w:val="none"/>
          <w:lang w:val="en-US" w:eastAsia="zh-CN"/>
        </w:rPr>
        <w:t>十</w:t>
      </w:r>
      <w:r>
        <w:rPr>
          <w:rFonts w:hint="default" w:ascii="楷体" w:hAnsi="楷体" w:eastAsia="楷体"/>
          <w:b/>
          <w:bCs/>
          <w:sz w:val="24"/>
          <w:highlight w:val="none"/>
          <w:lang w:val="en-US" w:eastAsia="zh-CN"/>
        </w:rPr>
        <w:t>）</w:t>
      </w:r>
      <w:r>
        <w:rPr>
          <w:rFonts w:hint="eastAsia" w:ascii="楷体" w:hAnsi="楷体" w:eastAsia="楷体"/>
          <w:b/>
          <w:bCs/>
          <w:sz w:val="24"/>
          <w:highlight w:val="none"/>
          <w:lang w:val="en-US" w:eastAsia="zh-CN"/>
        </w:rPr>
        <w:t>甲方</w:t>
      </w:r>
      <w:r>
        <w:rPr>
          <w:rFonts w:hint="default" w:ascii="楷体" w:hAnsi="楷体" w:eastAsia="楷体"/>
          <w:b/>
          <w:bCs/>
          <w:sz w:val="24"/>
          <w:highlight w:val="none"/>
          <w:lang w:val="en-US" w:eastAsia="zh-CN"/>
        </w:rPr>
        <w:t>有权对</w:t>
      </w:r>
      <w:r>
        <w:rPr>
          <w:rFonts w:hint="eastAsia" w:ascii="楷体" w:hAnsi="楷体" w:eastAsia="楷体"/>
          <w:b/>
          <w:bCs/>
          <w:sz w:val="24"/>
          <w:highlight w:val="none"/>
          <w:lang w:val="en-US" w:eastAsia="zh-CN"/>
        </w:rPr>
        <w:t>乙</w:t>
      </w:r>
      <w:r>
        <w:rPr>
          <w:rFonts w:hint="default" w:ascii="楷体" w:hAnsi="楷体" w:eastAsia="楷体"/>
          <w:b/>
          <w:bCs/>
          <w:sz w:val="24"/>
          <w:highlight w:val="none"/>
          <w:lang w:val="en-US" w:eastAsia="zh-CN"/>
        </w:rPr>
        <w:t>方开展反洗钱方面的尽职调查工作，有权根据法律法规、监管规章的规定对</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采取交易金额、绑定银行账户所有人等方面的限制措施，有权将</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明细交易纳入机构反洗钱交易监测系统，有权向监管机构及时报告存在可疑交易的</w:t>
      </w:r>
      <w:r>
        <w:rPr>
          <w:rFonts w:hint="eastAsia" w:ascii="楷体" w:hAnsi="楷体" w:eastAsia="楷体"/>
          <w:b/>
          <w:bCs/>
          <w:sz w:val="24"/>
          <w:highlight w:val="none"/>
          <w:lang w:val="en-US" w:eastAsia="zh-CN"/>
        </w:rPr>
        <w:t>乙方</w:t>
      </w:r>
      <w:r>
        <w:rPr>
          <w:rFonts w:hint="default" w:ascii="楷体" w:hAnsi="楷体" w:eastAsia="楷体"/>
          <w:b/>
          <w:bCs/>
          <w:sz w:val="24"/>
          <w:highlight w:val="none"/>
          <w:lang w:val="en-US" w:eastAsia="zh-CN"/>
        </w:rPr>
        <w:t>账户，有权在接到司法机关查冻扣命令后对</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维度采取冻结等限制</w:t>
      </w:r>
      <w:r>
        <w:rPr>
          <w:rFonts w:hint="eastAsia" w:ascii="楷体" w:hAnsi="楷体" w:eastAsia="楷体"/>
          <w:b/>
          <w:bCs/>
          <w:sz w:val="24"/>
          <w:highlight w:val="none"/>
          <w:lang w:val="en-US" w:eastAsia="zh-CN"/>
        </w:rPr>
        <w:t>乙方</w:t>
      </w:r>
      <w:r>
        <w:rPr>
          <w:rFonts w:hint="default" w:ascii="楷体" w:hAnsi="楷体" w:eastAsia="楷体"/>
          <w:b/>
          <w:bCs/>
          <w:sz w:val="24"/>
          <w:highlight w:val="none"/>
          <w:lang w:val="en-US" w:eastAsia="zh-CN"/>
        </w:rPr>
        <w:t>账户</w:t>
      </w:r>
      <w:r>
        <w:rPr>
          <w:rFonts w:hint="eastAsia" w:ascii="楷体" w:hAnsi="楷体" w:eastAsia="楷体"/>
          <w:b/>
          <w:bCs/>
          <w:sz w:val="24"/>
          <w:highlight w:val="none"/>
          <w:lang w:val="en-US" w:eastAsia="zh-CN"/>
        </w:rPr>
        <w:t>提现</w:t>
      </w:r>
      <w:r>
        <w:rPr>
          <w:rFonts w:hint="default" w:ascii="楷体" w:hAnsi="楷体" w:eastAsia="楷体"/>
          <w:b/>
          <w:bCs/>
          <w:sz w:val="24"/>
          <w:highlight w:val="none"/>
          <w:lang w:val="en-US" w:eastAsia="zh-CN"/>
        </w:rPr>
        <w:t>、转账等措施。</w:t>
      </w:r>
    </w:p>
    <w:p>
      <w:pPr>
        <w:spacing w:line="560" w:lineRule="exact"/>
        <w:ind w:firstLine="480"/>
        <w:rPr>
          <w:rFonts w:hint="default" w:ascii="楷体" w:hAnsi="楷体" w:eastAsia="楷体"/>
          <w:b/>
          <w:bCs/>
          <w:sz w:val="24"/>
          <w:highlight w:val="none"/>
          <w:lang w:val="en-US" w:eastAsia="zh-CN"/>
        </w:rPr>
      </w:pPr>
      <w:r>
        <w:rPr>
          <w:rFonts w:hint="default" w:ascii="楷体" w:hAnsi="楷体" w:eastAsia="楷体"/>
          <w:b/>
          <w:bCs/>
          <w:sz w:val="24"/>
          <w:highlight w:val="none"/>
          <w:lang w:val="en-US" w:eastAsia="zh-CN"/>
        </w:rPr>
        <w:t>（十</w:t>
      </w:r>
      <w:r>
        <w:rPr>
          <w:rFonts w:hint="eastAsia" w:ascii="楷体" w:hAnsi="楷体" w:eastAsia="楷体"/>
          <w:b/>
          <w:bCs/>
          <w:sz w:val="24"/>
          <w:highlight w:val="none"/>
          <w:lang w:val="en-US" w:eastAsia="zh-CN"/>
        </w:rPr>
        <w:t>一</w:t>
      </w:r>
      <w:r>
        <w:rPr>
          <w:rFonts w:hint="default" w:ascii="楷体" w:hAnsi="楷体" w:eastAsia="楷体"/>
          <w:b/>
          <w:bCs/>
          <w:sz w:val="24"/>
          <w:highlight w:val="none"/>
          <w:lang w:val="en-US" w:eastAsia="zh-CN"/>
        </w:rPr>
        <w:t>）</w:t>
      </w:r>
      <w:r>
        <w:rPr>
          <w:rFonts w:hint="eastAsia" w:ascii="楷体" w:hAnsi="楷体" w:eastAsia="楷体"/>
          <w:b/>
          <w:bCs/>
          <w:sz w:val="24"/>
          <w:highlight w:val="none"/>
          <w:lang w:val="en-US" w:eastAsia="zh-CN"/>
        </w:rPr>
        <w:t>甲方</w:t>
      </w:r>
      <w:r>
        <w:rPr>
          <w:rFonts w:hint="default" w:ascii="楷体" w:hAnsi="楷体" w:eastAsia="楷体"/>
          <w:b/>
          <w:bCs/>
          <w:sz w:val="24"/>
          <w:highlight w:val="none"/>
          <w:lang w:val="en-US" w:eastAsia="zh-CN"/>
        </w:rPr>
        <w:t>有权对出现了人民银行发布的2023年第5期《洗钱风险提示》规定的高风险因素</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采取诸如限制绑定账户数量、转账金额、转账频率等措施</w:t>
      </w:r>
      <w:r>
        <w:rPr>
          <w:rFonts w:hint="eastAsia" w:ascii="楷体" w:hAnsi="楷体" w:eastAsia="楷体"/>
          <w:b/>
          <w:bCs/>
          <w:sz w:val="24"/>
          <w:highlight w:val="none"/>
          <w:lang w:val="en-US" w:eastAsia="zh-CN"/>
        </w:rPr>
        <w:t>。</w:t>
      </w:r>
    </w:p>
    <w:p>
      <w:pPr>
        <w:spacing w:line="560" w:lineRule="exact"/>
        <w:ind w:firstLine="480"/>
        <w:rPr>
          <w:rFonts w:hint="default" w:ascii="楷体" w:hAnsi="楷体" w:eastAsia="楷体"/>
          <w:b/>
          <w:bCs/>
          <w:sz w:val="24"/>
          <w:highlight w:val="none"/>
          <w:lang w:val="en-US" w:eastAsia="zh-CN"/>
        </w:rPr>
      </w:pPr>
      <w:r>
        <w:rPr>
          <w:rFonts w:hint="default" w:ascii="楷体" w:hAnsi="楷体" w:eastAsia="楷体"/>
          <w:b/>
          <w:bCs/>
          <w:sz w:val="24"/>
          <w:highlight w:val="none"/>
          <w:lang w:val="en-US" w:eastAsia="zh-CN"/>
        </w:rPr>
        <w:t>（十</w:t>
      </w:r>
      <w:r>
        <w:rPr>
          <w:rFonts w:hint="eastAsia" w:ascii="楷体" w:hAnsi="楷体" w:eastAsia="楷体"/>
          <w:b/>
          <w:bCs/>
          <w:sz w:val="24"/>
          <w:highlight w:val="none"/>
          <w:lang w:val="en-US" w:eastAsia="zh-CN"/>
        </w:rPr>
        <w:t>二</w:t>
      </w:r>
      <w:r>
        <w:rPr>
          <w:rFonts w:hint="default" w:ascii="楷体" w:hAnsi="楷体" w:eastAsia="楷体"/>
          <w:b/>
          <w:bCs/>
          <w:sz w:val="24"/>
          <w:highlight w:val="none"/>
          <w:lang w:val="en-US" w:eastAsia="zh-CN"/>
        </w:rPr>
        <w:t>）</w:t>
      </w:r>
      <w:r>
        <w:rPr>
          <w:rFonts w:hint="eastAsia" w:ascii="楷体" w:hAnsi="楷体" w:eastAsia="楷体"/>
          <w:b/>
          <w:bCs/>
          <w:sz w:val="24"/>
          <w:highlight w:val="none"/>
          <w:lang w:val="en-US" w:eastAsia="zh-CN"/>
        </w:rPr>
        <w:t>甲方</w:t>
      </w:r>
      <w:r>
        <w:rPr>
          <w:rFonts w:hint="default" w:ascii="楷体" w:hAnsi="楷体" w:eastAsia="楷体"/>
          <w:b/>
          <w:bCs/>
          <w:sz w:val="24"/>
          <w:highlight w:val="none"/>
          <w:lang w:val="en-US" w:eastAsia="zh-CN"/>
        </w:rPr>
        <w:t>有权定期人工回溯分析</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的整体交易流水情况，有权抽查提取</w:t>
      </w:r>
      <w:r>
        <w:rPr>
          <w:rFonts w:hint="eastAsia" w:ascii="楷体" w:hAnsi="楷体" w:eastAsia="楷体"/>
          <w:b/>
          <w:bCs/>
          <w:sz w:val="24"/>
          <w:highlight w:val="none"/>
          <w:lang w:val="en-US" w:eastAsia="zh-CN"/>
        </w:rPr>
        <w:t>乙方资金登记簿</w:t>
      </w:r>
      <w:r>
        <w:rPr>
          <w:rFonts w:hint="default" w:ascii="楷体" w:hAnsi="楷体" w:eastAsia="楷体"/>
          <w:b/>
          <w:bCs/>
          <w:sz w:val="24"/>
          <w:highlight w:val="none"/>
          <w:lang w:val="en-US" w:eastAsia="zh-CN"/>
        </w:rPr>
        <w:t>的明细交易活动信息，有权增加对</w:t>
      </w:r>
      <w:r>
        <w:rPr>
          <w:rFonts w:hint="eastAsia" w:ascii="楷体" w:hAnsi="楷体" w:eastAsia="楷体"/>
          <w:b/>
          <w:bCs/>
          <w:sz w:val="24"/>
          <w:highlight w:val="none"/>
          <w:lang w:val="en-US" w:eastAsia="zh-CN"/>
        </w:rPr>
        <w:t>乙方</w:t>
      </w:r>
      <w:r>
        <w:rPr>
          <w:rFonts w:hint="default" w:ascii="楷体" w:hAnsi="楷体" w:eastAsia="楷体"/>
          <w:b/>
          <w:bCs/>
          <w:sz w:val="24"/>
          <w:highlight w:val="none"/>
          <w:lang w:val="en-US" w:eastAsia="zh-CN"/>
        </w:rPr>
        <w:t>异常账目的核对频次。经</w:t>
      </w:r>
      <w:r>
        <w:rPr>
          <w:rFonts w:hint="eastAsia" w:ascii="楷体" w:hAnsi="楷体" w:eastAsia="楷体"/>
          <w:b/>
          <w:bCs/>
          <w:sz w:val="24"/>
          <w:highlight w:val="none"/>
          <w:lang w:val="en-US" w:eastAsia="zh-CN"/>
        </w:rPr>
        <w:t>甲方</w:t>
      </w:r>
      <w:r>
        <w:rPr>
          <w:rFonts w:hint="default" w:ascii="楷体" w:hAnsi="楷体" w:eastAsia="楷体"/>
          <w:b/>
          <w:bCs/>
          <w:sz w:val="24"/>
          <w:highlight w:val="none"/>
          <w:lang w:val="en-US" w:eastAsia="zh-CN"/>
        </w:rPr>
        <w:t>识别，</w:t>
      </w:r>
      <w:r>
        <w:rPr>
          <w:rFonts w:hint="eastAsia" w:ascii="楷体" w:hAnsi="楷体" w:eastAsia="楷体"/>
          <w:b/>
          <w:bCs/>
          <w:sz w:val="24"/>
          <w:highlight w:val="none"/>
          <w:lang w:val="en-US" w:eastAsia="zh-CN"/>
        </w:rPr>
        <w:t>资金登记簿</w:t>
      </w:r>
      <w:r>
        <w:rPr>
          <w:rFonts w:hint="default" w:ascii="楷体" w:hAnsi="楷体" w:eastAsia="楷体"/>
          <w:b/>
          <w:bCs/>
          <w:sz w:val="24"/>
          <w:highlight w:val="none"/>
          <w:lang w:val="en-US" w:eastAsia="zh-CN"/>
        </w:rPr>
        <w:t>存在异常交易情形（如持续大额、高频转账或涉司法查冻扣等）的，或</w:t>
      </w:r>
      <w:r>
        <w:rPr>
          <w:rFonts w:hint="eastAsia" w:ascii="楷体" w:hAnsi="楷体" w:eastAsia="楷体"/>
          <w:b/>
          <w:bCs/>
          <w:sz w:val="24"/>
          <w:highlight w:val="none"/>
          <w:lang w:val="en-US" w:eastAsia="zh-CN"/>
        </w:rPr>
        <w:t>乙方</w:t>
      </w:r>
      <w:r>
        <w:rPr>
          <w:rFonts w:hint="default" w:ascii="楷体" w:hAnsi="楷体" w:eastAsia="楷体"/>
          <w:b/>
          <w:bCs/>
          <w:sz w:val="24"/>
          <w:highlight w:val="none"/>
          <w:lang w:val="en-US" w:eastAsia="zh-CN"/>
        </w:rPr>
        <w:t>多次发生洗钱风险事件的，</w:t>
      </w:r>
      <w:r>
        <w:rPr>
          <w:rFonts w:hint="eastAsia" w:ascii="楷体" w:hAnsi="楷体" w:eastAsia="楷体"/>
          <w:b/>
          <w:bCs/>
          <w:sz w:val="24"/>
          <w:highlight w:val="none"/>
          <w:lang w:val="en-US" w:eastAsia="zh-CN"/>
        </w:rPr>
        <w:t>甲方</w:t>
      </w:r>
      <w:r>
        <w:rPr>
          <w:rFonts w:hint="default" w:ascii="楷体" w:hAnsi="楷体" w:eastAsia="楷体"/>
          <w:b/>
          <w:bCs/>
          <w:sz w:val="24"/>
          <w:highlight w:val="none"/>
          <w:lang w:val="en-US" w:eastAsia="zh-CN"/>
        </w:rPr>
        <w:t>有权采取中止提供相关服务、解除本协议</w:t>
      </w:r>
      <w:r>
        <w:rPr>
          <w:rFonts w:hint="eastAsia" w:ascii="楷体" w:hAnsi="楷体" w:eastAsia="楷体"/>
          <w:b/>
          <w:bCs/>
          <w:sz w:val="24"/>
          <w:highlight w:val="none"/>
          <w:lang w:val="en-US" w:eastAsia="zh-CN"/>
        </w:rPr>
        <w:t>、暂停或注销资金登记簿</w:t>
      </w:r>
      <w:r>
        <w:rPr>
          <w:rFonts w:hint="default" w:ascii="楷体" w:hAnsi="楷体" w:eastAsia="楷体"/>
          <w:b/>
          <w:bCs/>
          <w:sz w:val="24"/>
          <w:highlight w:val="none"/>
          <w:lang w:val="en-US" w:eastAsia="zh-CN"/>
        </w:rPr>
        <w:t>等措施。</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十三）发生以下任一情况，甲方有权要求乙方配合提供乙方在平台的交易数据和其他数据信息、资料影像件等信息进行核查，甲方有权协同平台采取核查、延迟资金结算、限制资金结算金额、暂停或终止本协议项下的服务和报送有关监管部门及公检法部门等所有甲方认为有必要的措施而无需承担任何责任，无需事先征得乙方同意：</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1.乙方在甲方系统内发生身份或银行结算账户识别异常。</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2.甲方有合理理由怀疑乙方利用甲方提供的服务从事赌博、洗钱、套现、传销、淫秽色情等非法活动或为非法活动提供协助及便利的。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3.乙方被支付清算协会、清算机构、金融监管机构纳入黑名单的；由前述机构纳入黑名单的个人担任法定代表人或者负责人的。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4.其他甲方认定的违反甲方产品管理规范，触发甲方风险预警情况的。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（十四）出现以下任一情形时，甲方有权单方面终止本协议并冻结或注销乙方登记簿且不承担违约责任，并保留追究乙方责任的权利：</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1.乙方被吊销营业执照，或因任何原因进入破产清算、和解或重整程序。</w:t>
      </w:r>
    </w:p>
    <w:p>
      <w:pPr>
        <w:spacing w:line="560" w:lineRule="exact"/>
        <w:ind w:firstLine="480"/>
        <w:rPr>
          <w:rFonts w:hint="default" w:ascii="楷体" w:hAnsi="楷体" w:eastAsia="楷体"/>
          <w:b/>
          <w:bCs/>
          <w:sz w:val="24"/>
          <w:highlight w:val="none"/>
          <w:lang w:val="en-US" w:eastAsia="zh-CN"/>
        </w:rPr>
      </w:pPr>
      <w:r>
        <w:rPr>
          <w:rFonts w:hint="eastAsia" w:ascii="楷体" w:hAnsi="楷体" w:eastAsia="楷体"/>
          <w:b/>
          <w:bCs/>
          <w:sz w:val="24"/>
          <w:highlight w:val="none"/>
          <w:lang w:val="en-US" w:eastAsia="zh-CN"/>
        </w:rPr>
        <w:t>2.乙方营业执照或其他登记证件已注销或作废的；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3.乙方连续6个月无资金交易或信息上送的；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4.乙方及平台经营的商品或服务品类属于政府、监管部门等有权机构或甲方认定违法违规的，或经营的商品或服务品类属于需事先审批而乙方或平台在正式开办该类业务前未获得相关批文或资质的；</w:t>
      </w:r>
    </w:p>
    <w:p>
      <w:pPr>
        <w:spacing w:line="560" w:lineRule="exact"/>
        <w:ind w:firstLine="480"/>
        <w:rPr>
          <w:rFonts w:hint="default" w:ascii="楷体" w:hAnsi="楷体" w:eastAsia="楷体"/>
          <w:b/>
          <w:bCs/>
          <w:sz w:val="24"/>
          <w:highlight w:val="none"/>
          <w:lang w:val="en-US" w:eastAsia="zh-CN"/>
        </w:rPr>
      </w:pPr>
      <w:r>
        <w:rPr>
          <w:rFonts w:hint="eastAsia" w:ascii="楷体" w:hAnsi="楷体" w:eastAsia="楷体"/>
          <w:b/>
          <w:bCs/>
          <w:sz w:val="24"/>
          <w:highlight w:val="none"/>
          <w:lang w:val="en-US" w:eastAsia="zh-CN"/>
        </w:rPr>
        <w:t>5.乙方或平台利用甲方系统从事违反国家法律法规活动的；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6.甲方根据国家相关法律法规、有权机关要求或自身风险管控要求，针对本协议项下的合作业务进行巡检、核查、资料调阅等，乙方或平台拒不配合的；</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7.乙方发生</w:t>
      </w:r>
      <w:r>
        <w:rPr>
          <w:rFonts w:hint="eastAsia" w:ascii="楷体" w:hAnsi="楷体" w:eastAsia="楷体"/>
          <w:b/>
          <w:bCs/>
          <w:sz w:val="24"/>
          <w:highlight w:val="none"/>
          <w:lang w:val="en-US" w:eastAsia="zh-Hans"/>
        </w:rPr>
        <w:t>其他</w:t>
      </w:r>
      <w:r>
        <w:rPr>
          <w:rFonts w:hint="eastAsia" w:ascii="楷体" w:hAnsi="楷体" w:eastAsia="楷体"/>
          <w:b/>
          <w:bCs/>
          <w:sz w:val="24"/>
          <w:highlight w:val="none"/>
          <w:lang w:val="en-US" w:eastAsia="zh-CN"/>
        </w:rPr>
        <w:t>违反法律法规或监管要求、违反本协议约定或其他违反甲方业务规定的情形的</w:t>
      </w:r>
      <w:r>
        <w:rPr>
          <w:rFonts w:hint="eastAsia" w:ascii="楷体" w:hAnsi="楷体" w:eastAsia="楷体"/>
          <w:b/>
          <w:bCs/>
          <w:sz w:val="24"/>
          <w:highlight w:val="none"/>
          <w:lang w:val="en-US" w:eastAsia="zh-Hans"/>
        </w:rPr>
        <w:t>。</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（十五）甲方有权在根据相关约定与平台解除业务合作时，按照平台指令或要求对平台交易资金账户和乙方资金登记簿内资金进行处置，甲方处置相关资金无需另行征求乙方同意。</w:t>
      </w:r>
    </w:p>
    <w:p>
      <w:pPr>
        <w:spacing w:line="560" w:lineRule="exact"/>
        <w:ind w:firstLine="480"/>
        <w:rPr>
          <w:rFonts w:hint="eastAsia" w:ascii="楷体" w:hAnsi="楷体" w:eastAsia="楷体"/>
          <w:sz w:val="24"/>
          <w:highlight w:val="none"/>
          <w:lang w:val="en-US" w:eastAsia="zh-CN"/>
        </w:rPr>
      </w:pPr>
      <w:r>
        <w:rPr>
          <w:rFonts w:hint="eastAsia" w:ascii="楷体" w:hAnsi="楷体" w:eastAsia="楷体"/>
          <w:sz w:val="24"/>
          <w:highlight w:val="none"/>
          <w:lang w:val="en-US" w:eastAsia="zh-CN"/>
        </w:rPr>
        <w:t>（十六）乙方在使用甲方服务过程中如有疑问，甲方应在法定工作时间内就产品服务等相关事项提供相应的咨询服务和支持。</w:t>
      </w:r>
    </w:p>
    <w:p>
      <w:pPr>
        <w:spacing w:line="560" w:lineRule="exact"/>
        <w:ind w:firstLine="480"/>
        <w:rPr>
          <w:rFonts w:hint="eastAsia" w:ascii="楷体" w:hAnsi="楷体" w:eastAsia="楷体"/>
          <w:sz w:val="24"/>
          <w:highlight w:val="none"/>
          <w:lang w:val="en-US" w:eastAsia="zh-CN"/>
        </w:rPr>
      </w:pPr>
      <w:r>
        <w:rPr>
          <w:rFonts w:hint="eastAsia" w:ascii="楷体" w:hAnsi="楷体" w:eastAsia="楷体"/>
          <w:sz w:val="24"/>
          <w:highlight w:val="none"/>
          <w:lang w:val="en-US" w:eastAsia="zh-CN"/>
        </w:rPr>
        <w:t>（十七）甲方有义务维护业务系统的安全平稳运行，但不可归咎于甲方原因的情形除外。</w:t>
      </w:r>
    </w:p>
    <w:p>
      <w:pPr>
        <w:spacing w:line="560" w:lineRule="exact"/>
        <w:ind w:firstLine="480"/>
        <w:rPr>
          <w:rFonts w:hint="eastAsia" w:ascii="楷体" w:hAnsi="楷体" w:eastAsia="楷体"/>
          <w:sz w:val="24"/>
          <w:highlight w:val="none"/>
          <w:lang w:val="en-US" w:eastAsia="zh-CN"/>
        </w:rPr>
      </w:pPr>
      <w:r>
        <w:rPr>
          <w:rFonts w:hint="eastAsia" w:ascii="楷体" w:hAnsi="楷体" w:eastAsia="楷体"/>
          <w:sz w:val="24"/>
          <w:highlight w:val="none"/>
          <w:lang w:val="en-US" w:eastAsia="zh-CN"/>
        </w:rPr>
        <w:t>（十八）甲方有权基于合理原因（包括但不限于监管原因、风险管理、消费者权益保护、业务需要等）更新和升级甲方系统，由此造成的业务中断或其它影响，甲方将提前通过甲方网站www.citicbank.com予以公告或以电话、邮件等方式通知平台和/或乙方，乙方应关注甲方网站公告。在此期间产生的服务中断或不稳定状态，不视为甲方违约。</w:t>
      </w:r>
    </w:p>
    <w:p>
      <w:pPr>
        <w:spacing w:line="560" w:lineRule="exact"/>
        <w:ind w:firstLine="482" w:firstLineChars="200"/>
        <w:rPr>
          <w:rFonts w:hint="eastAsia" w:ascii="楷体" w:hAnsi="楷体" w:eastAsia="楷体"/>
          <w:b/>
          <w:bCs/>
          <w:sz w:val="24"/>
          <w:highlight w:val="none"/>
        </w:rPr>
      </w:pPr>
      <w:r>
        <w:rPr>
          <w:rFonts w:hint="eastAsia" w:ascii="楷体" w:hAnsi="楷体" w:eastAsia="楷体"/>
          <w:b/>
          <w:bCs/>
          <w:sz w:val="24"/>
          <w:highlight w:val="none"/>
        </w:rPr>
        <w:t>第</w:t>
      </w:r>
      <w:r>
        <w:rPr>
          <w:rFonts w:hint="eastAsia" w:ascii="楷体" w:hAnsi="楷体" w:eastAsia="楷体"/>
          <w:b/>
          <w:bCs/>
          <w:sz w:val="24"/>
          <w:highlight w:val="none"/>
          <w:lang w:val="en-US" w:eastAsia="zh-CN"/>
        </w:rPr>
        <w:t>三条 乙</w:t>
      </w:r>
      <w:r>
        <w:rPr>
          <w:rFonts w:hint="eastAsia" w:ascii="楷体" w:hAnsi="楷体" w:eastAsia="楷体"/>
          <w:b/>
          <w:bCs/>
          <w:sz w:val="24"/>
          <w:highlight w:val="none"/>
        </w:rPr>
        <w:t>方权利义务</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（一）乙方</w:t>
      </w:r>
      <w:r>
        <w:rPr>
          <w:rFonts w:hint="eastAsia" w:ascii="楷体" w:hAnsi="楷体" w:eastAsia="楷体"/>
          <w:b/>
          <w:bCs/>
          <w:sz w:val="24"/>
          <w:highlight w:val="none"/>
        </w:rPr>
        <w:t>承诺并保证其</w:t>
      </w:r>
      <w:r>
        <w:rPr>
          <w:rFonts w:hint="eastAsia" w:ascii="楷体" w:hAnsi="楷体" w:eastAsia="楷体"/>
          <w:b/>
          <w:bCs/>
          <w:sz w:val="24"/>
          <w:highlight w:val="none"/>
          <w:lang w:val="en-US" w:eastAsia="zh-CN"/>
        </w:rPr>
        <w:t>通过平台向甲方提供的所有相关</w:t>
      </w:r>
      <w:r>
        <w:rPr>
          <w:rFonts w:hint="eastAsia" w:ascii="楷体" w:hAnsi="楷体" w:eastAsia="楷体"/>
          <w:b/>
          <w:bCs/>
          <w:sz w:val="24"/>
          <w:highlight w:val="none"/>
        </w:rPr>
        <w:t>资料信息均合法、真实、准确、完整和有效</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乙方在使用本协议项下服务过程中，所提供的资料信息如有更改，例如基本注册信息变更、联系信息变更、预留手机号码变更、绑定的账号变更等</w:t>
      </w:r>
      <w:r>
        <w:rPr>
          <w:rFonts w:hint="eastAsia" w:ascii="楷体" w:hAnsi="楷体" w:eastAsia="楷体"/>
          <w:b/>
          <w:bCs/>
          <w:sz w:val="24"/>
          <w:highlight w:val="none"/>
        </w:rPr>
        <w:t>，</w:t>
      </w:r>
      <w:r>
        <w:rPr>
          <w:rFonts w:hint="eastAsia" w:ascii="楷体" w:hAnsi="楷体" w:eastAsia="楷体"/>
          <w:b/>
          <w:bCs/>
          <w:sz w:val="24"/>
          <w:highlight w:val="none"/>
          <w:lang w:val="en-US" w:eastAsia="zh-CN"/>
        </w:rPr>
        <w:t>应及时按照甲方要求办理有关手续</w:t>
      </w:r>
      <w:r>
        <w:rPr>
          <w:rFonts w:hint="eastAsia" w:ascii="楷体" w:hAnsi="楷体" w:eastAsia="楷体"/>
          <w:b/>
          <w:bCs/>
          <w:sz w:val="24"/>
          <w:highlight w:val="none"/>
        </w:rPr>
        <w:t>。如因</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提供的资料和信息不及时/不准确/不完整等原因产生的一切后果，由</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自行承担。若因此导致</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遭受损失的，</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有权要求</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赔偿。</w:t>
      </w:r>
    </w:p>
    <w:p>
      <w:pPr>
        <w:spacing w:line="560" w:lineRule="exact"/>
        <w:ind w:firstLine="480"/>
        <w:rPr>
          <w:rFonts w:hint="eastAsia" w:ascii="楷体" w:hAnsi="楷体" w:eastAsia="楷体"/>
          <w:b/>
          <w:bCs/>
          <w:sz w:val="24"/>
          <w:highlight w:val="none"/>
          <w:lang w:eastAsia="zh-CN"/>
        </w:rPr>
      </w:pP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二</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乙方知悉并同意，甲方仅按照平台通过系统接口发送的申请或指令以及其他甲方认可的方式接受的平台指令办理资金划转及账务明细登记等业务，甲</w:t>
      </w:r>
      <w:r>
        <w:rPr>
          <w:rFonts w:hint="eastAsia" w:ascii="楷体" w:hAnsi="楷体" w:eastAsia="楷体"/>
          <w:b/>
          <w:bCs/>
          <w:sz w:val="24"/>
          <w:highlight w:val="none"/>
          <w:lang w:eastAsia="zh-CN"/>
        </w:rPr>
        <w:t>方不负责监管和审核</w:t>
      </w:r>
      <w:r>
        <w:rPr>
          <w:rFonts w:hint="eastAsia" w:ascii="楷体" w:hAnsi="楷体" w:eastAsia="楷体"/>
          <w:b/>
          <w:bCs/>
          <w:sz w:val="24"/>
          <w:highlight w:val="none"/>
          <w:lang w:val="en-US" w:eastAsia="zh-CN"/>
        </w:rPr>
        <w:t>乙方</w:t>
      </w:r>
      <w:r>
        <w:rPr>
          <w:rFonts w:hint="eastAsia" w:ascii="楷体" w:hAnsi="楷体" w:eastAsia="楷体"/>
          <w:b/>
          <w:bCs/>
          <w:sz w:val="24"/>
          <w:highlight w:val="none"/>
          <w:lang w:eastAsia="zh-CN"/>
        </w:rPr>
        <w:t>与</w:t>
      </w:r>
      <w:r>
        <w:rPr>
          <w:rFonts w:hint="eastAsia" w:ascii="楷体" w:hAnsi="楷体" w:eastAsia="楷体"/>
          <w:b/>
          <w:bCs/>
          <w:sz w:val="24"/>
          <w:highlight w:val="none"/>
          <w:lang w:val="en-US" w:eastAsia="zh-CN"/>
        </w:rPr>
        <w:t>平台</w:t>
      </w:r>
      <w:r>
        <w:rPr>
          <w:rFonts w:hint="eastAsia" w:ascii="楷体" w:hAnsi="楷体" w:eastAsia="楷体"/>
          <w:b/>
          <w:bCs/>
          <w:sz w:val="24"/>
          <w:highlight w:val="none"/>
          <w:lang w:eastAsia="zh-CN"/>
        </w:rPr>
        <w:t>之间的交易过程和交易结果，若因</w:t>
      </w:r>
      <w:r>
        <w:rPr>
          <w:rFonts w:hint="eastAsia" w:ascii="楷体" w:hAnsi="楷体" w:eastAsia="楷体"/>
          <w:b/>
          <w:bCs/>
          <w:sz w:val="24"/>
          <w:highlight w:val="none"/>
          <w:lang w:val="en-US" w:eastAsia="zh-CN"/>
        </w:rPr>
        <w:t>平台</w:t>
      </w:r>
      <w:r>
        <w:rPr>
          <w:rFonts w:hint="eastAsia" w:ascii="楷体" w:hAnsi="楷体" w:eastAsia="楷体"/>
          <w:b/>
          <w:bCs/>
          <w:sz w:val="24"/>
          <w:highlight w:val="none"/>
          <w:lang w:eastAsia="zh-CN"/>
        </w:rPr>
        <w:t>相关数据/指令发生错误、</w:t>
      </w:r>
      <w:r>
        <w:rPr>
          <w:rFonts w:hint="eastAsia" w:ascii="楷体" w:hAnsi="楷体" w:eastAsia="楷体"/>
          <w:b/>
          <w:bCs/>
          <w:sz w:val="24"/>
          <w:highlight w:val="none"/>
          <w:lang w:val="en-US" w:eastAsia="zh-CN"/>
        </w:rPr>
        <w:t>未经授权或平台及其授权的技术服务商系统发生故障等原因</w:t>
      </w:r>
      <w:r>
        <w:rPr>
          <w:rFonts w:hint="eastAsia" w:ascii="楷体" w:hAnsi="楷体" w:eastAsia="楷体"/>
          <w:b/>
          <w:bCs/>
          <w:sz w:val="24"/>
          <w:highlight w:val="none"/>
          <w:lang w:eastAsia="zh-CN"/>
        </w:rPr>
        <w:t>导致的任何风险和损失，均由乙方</w:t>
      </w:r>
      <w:r>
        <w:rPr>
          <w:rFonts w:hint="eastAsia" w:ascii="楷体" w:hAnsi="楷体" w:eastAsia="楷体"/>
          <w:b/>
          <w:bCs/>
          <w:sz w:val="24"/>
          <w:highlight w:val="none"/>
          <w:lang w:val="en-US" w:eastAsia="zh-CN"/>
        </w:rPr>
        <w:t>与</w:t>
      </w:r>
      <w:r>
        <w:rPr>
          <w:rFonts w:hint="eastAsia" w:ascii="楷体" w:hAnsi="楷体" w:eastAsia="楷体"/>
          <w:b/>
          <w:bCs/>
          <w:sz w:val="24"/>
          <w:highlight w:val="none"/>
          <w:lang w:eastAsia="zh-CN"/>
        </w:rPr>
        <w:t>平台</w:t>
      </w:r>
      <w:r>
        <w:rPr>
          <w:rFonts w:hint="eastAsia" w:ascii="楷体" w:hAnsi="楷体" w:eastAsia="楷体"/>
          <w:b/>
          <w:bCs/>
          <w:sz w:val="24"/>
          <w:highlight w:val="none"/>
          <w:lang w:val="en-US" w:eastAsia="zh-CN"/>
        </w:rPr>
        <w:t>自行解决，甲方不承担任何责任</w:t>
      </w:r>
      <w:r>
        <w:rPr>
          <w:rFonts w:hint="eastAsia" w:ascii="楷体" w:hAnsi="楷体" w:eastAsia="楷体"/>
          <w:b/>
          <w:bCs/>
          <w:sz w:val="24"/>
          <w:highlight w:val="none"/>
          <w:lang w:eastAsia="zh-CN"/>
        </w:rPr>
        <w:t>。</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lang w:val="en-US" w:eastAsia="zh-CN"/>
        </w:rPr>
        <w:t>（三）乙方对通过平台系统向甲方系统发送的电子业务指令所涉数据内容的真实性和有效性负责。乙方</w:t>
      </w:r>
      <w:r>
        <w:rPr>
          <w:rFonts w:hint="eastAsia" w:ascii="楷体" w:hAnsi="楷体" w:eastAsia="楷体"/>
          <w:b/>
          <w:bCs/>
          <w:sz w:val="24"/>
          <w:highlight w:val="none"/>
        </w:rPr>
        <w:t>确保通过</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进行的资金交易具有真实合法的交易背景</w:t>
      </w:r>
      <w:r>
        <w:rPr>
          <w:rFonts w:hint="eastAsia" w:ascii="楷体" w:hAnsi="楷体" w:eastAsia="楷体"/>
          <w:b/>
          <w:bCs/>
          <w:sz w:val="24"/>
          <w:highlight w:val="none"/>
          <w:lang w:eastAsia="zh-CN"/>
        </w:rPr>
        <w:t>，</w:t>
      </w:r>
      <w:r>
        <w:rPr>
          <w:rFonts w:hint="eastAsia" w:ascii="楷体" w:hAnsi="楷体" w:eastAsia="楷体"/>
          <w:b/>
          <w:bCs/>
          <w:sz w:val="24"/>
          <w:highlight w:val="none"/>
        </w:rPr>
        <w:t>就本协议下涉及的每一</w:t>
      </w:r>
      <w:r>
        <w:rPr>
          <w:rFonts w:hint="eastAsia" w:ascii="楷体" w:hAnsi="楷体" w:eastAsia="楷体"/>
          <w:b/>
          <w:bCs/>
          <w:sz w:val="24"/>
          <w:highlight w:val="none"/>
          <w:lang w:val="en-US" w:eastAsia="zh-CN"/>
        </w:rPr>
        <w:t>笔</w:t>
      </w:r>
      <w:r>
        <w:rPr>
          <w:rFonts w:hint="eastAsia" w:ascii="楷体" w:hAnsi="楷体" w:eastAsia="楷体"/>
          <w:b/>
          <w:bCs/>
          <w:sz w:val="24"/>
          <w:highlight w:val="none"/>
        </w:rPr>
        <w:t>交易和行为，</w:t>
      </w:r>
      <w:r>
        <w:rPr>
          <w:rFonts w:hint="eastAsia" w:ascii="楷体" w:hAnsi="楷体" w:eastAsia="楷体"/>
          <w:b/>
          <w:bCs/>
          <w:sz w:val="24"/>
          <w:highlight w:val="none"/>
          <w:lang w:val="en-US" w:eastAsia="zh-CN"/>
        </w:rPr>
        <w:t>乙方向甲</w:t>
      </w:r>
      <w:r>
        <w:rPr>
          <w:rFonts w:hint="eastAsia" w:ascii="楷体" w:hAnsi="楷体" w:eastAsia="楷体"/>
          <w:b/>
          <w:bCs/>
          <w:sz w:val="24"/>
          <w:highlight w:val="none"/>
        </w:rPr>
        <w:t>方负连带责任。</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四）乙方知悉并同意，乙方与平台、其他相关方之间的任何争议、纠纷、诉讼、仲裁等，均与甲方无关，由乙方及其相关各方自行解决。甲方既不参与也不对此承担任何责任和义务。若因此导致甲方遭受损失的，甲方有权要求乙方赔偿。</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（五）乙方授权平台通过平台系统接口传输等方式向甲方提供自身信息，以便甲方对乙方身份及账户等信息进行核验，上述信息包括乙方姓名或名称、</w:t>
      </w:r>
      <w:r>
        <w:rPr>
          <w:rFonts w:hint="eastAsia" w:ascii="楷体" w:hAnsi="楷体" w:eastAsia="楷体"/>
          <w:b/>
          <w:bCs/>
          <w:sz w:val="24"/>
          <w:highlight w:val="none"/>
          <w:lang w:val="en-US" w:eastAsia="zh-CN"/>
        </w:rPr>
        <w:t>证件类型、证件号码、</w:t>
      </w:r>
      <w:r>
        <w:rPr>
          <w:rFonts w:hint="eastAsia" w:ascii="楷体" w:hAnsi="楷体" w:eastAsia="楷体"/>
          <w:b/>
          <w:bCs/>
          <w:sz w:val="24"/>
          <w:highlight w:val="none"/>
          <w:lang w:val="en-US" w:eastAsia="zh-CN"/>
        </w:rPr>
        <w:t>商户编号、商户简称、行业类别、所在地区、详细地址、邮箱、联系电话、结算账户名称、账号，法定代表人/负责人姓名、</w:t>
      </w:r>
      <w:r>
        <w:rPr>
          <w:rFonts w:hint="eastAsia" w:ascii="楷体" w:hAnsi="楷体" w:eastAsia="楷体"/>
          <w:b/>
          <w:bCs/>
          <w:sz w:val="24"/>
          <w:highlight w:val="none"/>
        </w:rPr>
        <w:t>证件类型、证件号码、</w:t>
      </w:r>
      <w:r>
        <w:rPr>
          <w:rFonts w:hint="eastAsia" w:ascii="楷体" w:hAnsi="楷体" w:eastAsia="楷体"/>
          <w:b/>
          <w:bCs/>
          <w:sz w:val="24"/>
          <w:highlight w:val="none"/>
          <w:lang w:val="en-US" w:eastAsia="zh-CN"/>
        </w:rPr>
        <w:t>手机号；乙方同意甲方根据乙方提供的联系电话（包括单位和个人）进行实名查证。</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六）甲方依据乙方提供的信息，包括乙方姓名或名称、证件类型、证件号码、法定代表人名称、法定代表人证件号码（如有）、手机号码、账户信息等必要的信息，用于核实所输银行卡是否为用户本人银行卡，核验乙方身份信息是否准确。甲方负责收集上述个人信息，通过合作的合法机构（包括且不限于中国银联）提交发卡机构，发卡机构将上述个人信息用于一致性比对，通过合法机构返回核验结果。乙方同意并授权甲方合作的合法机构、发卡机构基于本协议核验身份之需在各自业务职责范围内采集、使用上述个人信息。</w:t>
      </w:r>
    </w:p>
    <w:p>
      <w:pPr>
        <w:spacing w:line="560" w:lineRule="exact"/>
        <w:ind w:firstLine="480"/>
        <w:rPr>
          <w:rFonts w:hint="eastAsia" w:ascii="楷体" w:hAnsi="楷体" w:eastAsia="楷体"/>
          <w:b/>
          <w:bCs/>
          <w:sz w:val="24"/>
          <w:highlight w:val="none"/>
          <w:lang w:val="en-US" w:eastAsia="zh-CN"/>
        </w:rPr>
      </w:pPr>
      <w:r>
        <w:rPr>
          <w:rFonts w:hint="eastAsia" w:ascii="楷体" w:hAnsi="楷体" w:eastAsia="楷体"/>
          <w:b/>
          <w:bCs/>
          <w:sz w:val="24"/>
          <w:highlight w:val="none"/>
          <w:lang w:val="en-US" w:eastAsia="zh-CN"/>
        </w:rPr>
        <w:t>（七）乙方有义务确保在平台上的交易真实、合法、合规，因乙方违法违规造成的被甲方协同平台采取核查、延迟资金结算、限制资金结算金额、禁止资金结算、暂停交易或终止本协议项下的服务、报送有关监管部门及公检法部门等所有甲方认为有必要的措施而带来的后果，均由乙方自行承担。</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lang w:val="en-US" w:eastAsia="zh-CN"/>
        </w:rPr>
        <w:t>（八）乙方</w:t>
      </w:r>
      <w:r>
        <w:rPr>
          <w:rFonts w:hint="eastAsia" w:ascii="楷体" w:hAnsi="楷体" w:eastAsia="楷体"/>
          <w:b/>
          <w:bCs/>
          <w:sz w:val="24"/>
          <w:highlight w:val="none"/>
        </w:rPr>
        <w:t>应保证其指定的银行结算账户是真实、合法、合规和准确的，</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对</w:t>
      </w:r>
      <w:r>
        <w:rPr>
          <w:rFonts w:hint="eastAsia" w:ascii="楷体" w:hAnsi="楷体" w:eastAsia="楷体"/>
          <w:b/>
          <w:bCs/>
          <w:sz w:val="24"/>
          <w:highlight w:val="none"/>
          <w:lang w:val="en-US" w:eastAsia="zh-CN"/>
        </w:rPr>
        <w:t>乙方资金登记簿</w:t>
      </w:r>
      <w:r>
        <w:rPr>
          <w:rFonts w:hint="eastAsia" w:ascii="楷体" w:hAnsi="楷体" w:eastAsia="楷体"/>
          <w:b/>
          <w:bCs/>
          <w:sz w:val="24"/>
          <w:highlight w:val="none"/>
        </w:rPr>
        <w:t>进行的出金操作，仅能到该指定的银行结算账户。</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rPr>
        <w:t>（</w:t>
      </w:r>
      <w:r>
        <w:rPr>
          <w:rFonts w:hint="eastAsia" w:ascii="楷体" w:hAnsi="楷体" w:eastAsia="楷体"/>
          <w:b/>
          <w:bCs/>
          <w:sz w:val="24"/>
          <w:highlight w:val="none"/>
          <w:lang w:val="en-US" w:eastAsia="zh-CN"/>
        </w:rPr>
        <w:t>九</w:t>
      </w:r>
      <w:r>
        <w:rPr>
          <w:rFonts w:hint="eastAsia" w:ascii="楷体" w:hAnsi="楷体" w:eastAsia="楷体"/>
          <w:b/>
          <w:bCs/>
          <w:sz w:val="24"/>
          <w:highlight w:val="none"/>
        </w:rPr>
        <w:t>）</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不正当使用</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提供的服务，包括但不限于非基于真实交易背景或业务规则向</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发送资金划拨指令等，</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有权取消对</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提供的相关服务，</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对此不持任何异议。</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十</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基于合理原因（包括但不限于监管原因、风险管理、消费者权益保护、业务需要等）进行的产品功能升级/改造，</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应按</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要求</w:t>
      </w:r>
      <w:r>
        <w:rPr>
          <w:rFonts w:hint="eastAsia" w:ascii="楷体" w:hAnsi="楷体" w:eastAsia="楷体"/>
          <w:b/>
          <w:bCs/>
          <w:sz w:val="24"/>
          <w:highlight w:val="none"/>
          <w:lang w:val="en-US" w:eastAsia="zh-CN"/>
        </w:rPr>
        <w:t>进行配合</w:t>
      </w:r>
      <w:r>
        <w:rPr>
          <w:rFonts w:hint="eastAsia" w:ascii="楷体" w:hAnsi="楷体" w:eastAsia="楷体"/>
          <w:b/>
          <w:bCs/>
          <w:sz w:val="24"/>
          <w:highlight w:val="none"/>
        </w:rPr>
        <w:t>，</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有权根据升级/改造工作的实际需要暂停对</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提供相关服务，直至相关产品功能升级/改造完成。如</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无合理原因拒绝配合</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进行相关功能升级/改造，</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有权中止或终止为</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办理本协议项下业务。</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lang w:val="en-US" w:eastAsia="zh-CN"/>
        </w:rPr>
        <w:t>（十一）乙方应遵守中华人民共和国反洗钱法律法规，不参与涉嫌洗钱、恐怖融资、扩散融资等违法犯罪活动；主动配合甲方客户身份识别与尽职调查，提供真实、准确、完整客户资料，遵守甲方反洗钱与反恐怖融资相关管理规定。对具备合理理由怀疑涉嫌洗钱、恐怖融资的客户，甲方将按照中国人民银行反洗钱监管规定采取必要管控措施。</w:t>
      </w:r>
    </w:p>
    <w:p>
      <w:pPr>
        <w:spacing w:line="560" w:lineRule="exact"/>
        <w:ind w:firstLine="480"/>
        <w:rPr>
          <w:rFonts w:hint="eastAsia" w:ascii="楷体" w:hAnsi="楷体" w:eastAsia="楷体"/>
          <w:b/>
          <w:bCs/>
          <w:sz w:val="24"/>
          <w:highlight w:val="none"/>
        </w:rPr>
      </w:pPr>
      <w:r>
        <w:rPr>
          <w:rFonts w:hint="eastAsia" w:ascii="楷体" w:hAnsi="楷体" w:eastAsia="楷体"/>
          <w:b/>
          <w:bCs/>
          <w:sz w:val="24"/>
          <w:highlight w:val="none"/>
        </w:rPr>
        <w:t>（</w:t>
      </w:r>
      <w:r>
        <w:rPr>
          <w:rFonts w:hint="eastAsia" w:ascii="楷体" w:hAnsi="楷体" w:eastAsia="楷体"/>
          <w:b/>
          <w:bCs/>
          <w:sz w:val="24"/>
          <w:highlight w:val="none"/>
          <w:lang w:val="en-US" w:eastAsia="zh-CN"/>
        </w:rPr>
        <w:t>十二</w:t>
      </w:r>
      <w:r>
        <w:rPr>
          <w:rFonts w:hint="eastAsia" w:ascii="楷体" w:hAnsi="楷体" w:eastAsia="楷体"/>
          <w:b/>
          <w:bCs/>
          <w:sz w:val="24"/>
          <w:highlight w:val="none"/>
        </w:rPr>
        <w:t>）</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承诺并保证，在遵守相关法律法规和本协议约定的有关信息保密要求的前提下，</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应协助配合</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开展的尽职调查和可疑交易甄别工作，并根据</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要求提供相关信息，</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应对相关信息的真实性、完整性、准确性负责；发生或可能发生洗钱风险事件的，</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同意</w:t>
      </w:r>
      <w:r>
        <w:rPr>
          <w:rFonts w:hint="eastAsia" w:ascii="楷体" w:hAnsi="楷体" w:eastAsia="楷体"/>
          <w:b/>
          <w:bCs/>
          <w:sz w:val="24"/>
          <w:highlight w:val="none"/>
          <w:lang w:val="en-US" w:eastAsia="zh-CN"/>
        </w:rPr>
        <w:t>甲方</w:t>
      </w:r>
      <w:r>
        <w:rPr>
          <w:rFonts w:hint="eastAsia" w:ascii="楷体" w:hAnsi="楷体" w:eastAsia="楷体"/>
          <w:b/>
          <w:bCs/>
          <w:sz w:val="24"/>
          <w:highlight w:val="none"/>
        </w:rPr>
        <w:t>有权按照反洗钱相关管理规定，对</w:t>
      </w:r>
      <w:r>
        <w:rPr>
          <w:rFonts w:hint="eastAsia" w:ascii="楷体" w:hAnsi="楷体" w:eastAsia="楷体"/>
          <w:b/>
          <w:bCs/>
          <w:sz w:val="24"/>
          <w:highlight w:val="none"/>
          <w:lang w:val="en-US" w:eastAsia="zh-CN"/>
        </w:rPr>
        <w:t>乙方</w:t>
      </w:r>
      <w:r>
        <w:rPr>
          <w:rFonts w:hint="eastAsia" w:ascii="楷体" w:hAnsi="楷体" w:eastAsia="楷体"/>
          <w:b/>
          <w:bCs/>
          <w:sz w:val="24"/>
          <w:highlight w:val="none"/>
        </w:rPr>
        <w:t>账户及</w:t>
      </w:r>
      <w:r>
        <w:rPr>
          <w:rFonts w:hint="eastAsia" w:ascii="楷体" w:hAnsi="楷体" w:eastAsia="楷体"/>
          <w:b/>
          <w:bCs/>
          <w:sz w:val="24"/>
          <w:highlight w:val="none"/>
          <w:lang w:val="en-US" w:eastAsia="zh-CN"/>
        </w:rPr>
        <w:t>资金登记簿</w:t>
      </w:r>
      <w:r>
        <w:rPr>
          <w:rFonts w:hint="eastAsia" w:ascii="楷体" w:hAnsi="楷体" w:eastAsia="楷体"/>
          <w:b/>
          <w:bCs/>
          <w:sz w:val="24"/>
          <w:highlight w:val="none"/>
        </w:rPr>
        <w:t>采取限制转账金额、转账频率</w:t>
      </w:r>
      <w:r>
        <w:rPr>
          <w:rFonts w:hint="eastAsia" w:ascii="楷体" w:hAnsi="楷体" w:eastAsia="楷体"/>
          <w:b/>
          <w:bCs/>
          <w:sz w:val="24"/>
          <w:highlight w:val="none"/>
          <w:lang w:eastAsia="zh-CN"/>
        </w:rPr>
        <w:t>、</w:t>
      </w:r>
      <w:r>
        <w:rPr>
          <w:rFonts w:hint="eastAsia" w:ascii="楷体" w:hAnsi="楷体" w:eastAsia="楷体"/>
          <w:b/>
          <w:bCs/>
          <w:sz w:val="24"/>
          <w:highlight w:val="none"/>
          <w:lang w:val="en-US" w:eastAsia="zh-CN"/>
        </w:rPr>
        <w:t>暂禁</w:t>
      </w:r>
      <w:r>
        <w:rPr>
          <w:rFonts w:hint="eastAsia" w:ascii="楷体" w:hAnsi="楷体" w:eastAsia="楷体"/>
          <w:b/>
          <w:bCs/>
          <w:sz w:val="24"/>
          <w:highlight w:val="none"/>
        </w:rPr>
        <w:t>等管控措施。</w:t>
      </w:r>
    </w:p>
    <w:p>
      <w:pPr>
        <w:spacing w:line="560" w:lineRule="exact"/>
        <w:ind w:firstLine="482" w:firstLineChars="200"/>
        <w:rPr>
          <w:rFonts w:hint="eastAsia" w:ascii="楷体" w:hAnsi="楷体" w:eastAsia="楷体"/>
          <w:b/>
          <w:sz w:val="24"/>
          <w:highlight w:val="none"/>
        </w:rPr>
      </w:pPr>
    </w:p>
    <w:p>
      <w:pPr>
        <w:spacing w:line="560" w:lineRule="exact"/>
        <w:ind w:firstLine="482" w:firstLineChars="200"/>
        <w:rPr>
          <w:rFonts w:hint="eastAsia" w:ascii="楷体" w:hAnsi="楷体" w:eastAsia="楷体"/>
          <w:b/>
          <w:sz w:val="24"/>
          <w:highlight w:val="none"/>
          <w:lang w:val="en-US" w:eastAsia="zh-CN"/>
        </w:rPr>
      </w:pPr>
      <w:r>
        <w:rPr>
          <w:rFonts w:hint="eastAsia" w:ascii="楷体" w:hAnsi="楷体" w:eastAsia="楷体"/>
          <w:b/>
          <w:sz w:val="24"/>
          <w:highlight w:val="none"/>
        </w:rPr>
        <w:t>第</w:t>
      </w:r>
      <w:r>
        <w:rPr>
          <w:rFonts w:hint="eastAsia" w:ascii="楷体" w:hAnsi="楷体" w:eastAsia="楷体"/>
          <w:b/>
          <w:sz w:val="24"/>
          <w:highlight w:val="none"/>
          <w:lang w:val="en-US" w:eastAsia="zh-CN"/>
        </w:rPr>
        <w:t>四</w:t>
      </w:r>
      <w:r>
        <w:rPr>
          <w:rFonts w:hint="eastAsia" w:ascii="楷体" w:hAnsi="楷体" w:eastAsia="楷体"/>
          <w:b/>
          <w:sz w:val="24"/>
          <w:highlight w:val="none"/>
        </w:rPr>
        <w:t xml:space="preserve">条 </w:t>
      </w:r>
      <w:r>
        <w:rPr>
          <w:rFonts w:hint="eastAsia" w:ascii="楷体" w:hAnsi="楷体" w:eastAsia="楷体"/>
          <w:b/>
          <w:sz w:val="24"/>
          <w:highlight w:val="none"/>
          <w:lang w:val="en-US" w:eastAsia="zh-CN"/>
        </w:rPr>
        <w:t>违约责任</w:t>
      </w:r>
    </w:p>
    <w:p>
      <w:pPr>
        <w:spacing w:line="560" w:lineRule="exact"/>
        <w:ind w:firstLine="482" w:firstLineChars="200"/>
        <w:rPr>
          <w:rFonts w:hint="eastAsia" w:ascii="楷体" w:hAnsi="楷体" w:eastAsia="楷体"/>
          <w:b/>
          <w:bCs w:val="0"/>
          <w:sz w:val="24"/>
          <w:highlight w:val="none"/>
        </w:rPr>
      </w:pPr>
      <w:r>
        <w:rPr>
          <w:rFonts w:hint="eastAsia" w:ascii="楷体" w:hAnsi="楷体" w:eastAsia="楷体"/>
          <w:b/>
          <w:bCs w:val="0"/>
          <w:sz w:val="24"/>
          <w:highlight w:val="none"/>
        </w:rPr>
        <w:t>（</w:t>
      </w:r>
      <w:r>
        <w:rPr>
          <w:rFonts w:hint="eastAsia" w:ascii="楷体" w:hAnsi="楷体" w:eastAsia="楷体"/>
          <w:b/>
          <w:bCs w:val="0"/>
          <w:sz w:val="24"/>
          <w:highlight w:val="none"/>
          <w:lang w:val="en-US" w:eastAsia="zh-CN"/>
        </w:rPr>
        <w:t>一</w:t>
      </w:r>
      <w:r>
        <w:rPr>
          <w:rFonts w:hint="eastAsia" w:ascii="楷体" w:hAnsi="楷体" w:eastAsia="楷体"/>
          <w:b/>
          <w:bCs w:val="0"/>
          <w:sz w:val="24"/>
          <w:highlight w:val="none"/>
        </w:rPr>
        <w:t>）</w:t>
      </w:r>
      <w:r>
        <w:rPr>
          <w:rFonts w:hint="eastAsia" w:ascii="楷体" w:hAnsi="楷体" w:eastAsia="楷体"/>
          <w:b/>
          <w:bCs w:val="0"/>
          <w:sz w:val="24"/>
          <w:highlight w:val="none"/>
          <w:lang w:val="en-US" w:eastAsia="zh-CN"/>
        </w:rPr>
        <w:t>甲方</w:t>
      </w:r>
      <w:r>
        <w:rPr>
          <w:rFonts w:hint="eastAsia" w:ascii="楷体" w:hAnsi="楷体" w:eastAsia="楷体"/>
          <w:b/>
          <w:bCs w:val="0"/>
          <w:sz w:val="24"/>
          <w:highlight w:val="none"/>
        </w:rPr>
        <w:t>不承担</w:t>
      </w:r>
      <w:r>
        <w:rPr>
          <w:rFonts w:hint="eastAsia" w:ascii="楷体" w:hAnsi="楷体" w:eastAsia="楷体"/>
          <w:b/>
          <w:bCs w:val="0"/>
          <w:sz w:val="24"/>
          <w:highlight w:val="none"/>
          <w:lang w:val="en-US" w:eastAsia="zh-CN"/>
        </w:rPr>
        <w:t>乙方</w:t>
      </w:r>
      <w:r>
        <w:rPr>
          <w:rFonts w:hint="eastAsia" w:ascii="楷体" w:hAnsi="楷体" w:eastAsia="楷体"/>
          <w:b/>
          <w:bCs w:val="0"/>
          <w:sz w:val="24"/>
          <w:highlight w:val="none"/>
        </w:rPr>
        <w:t>、</w:t>
      </w:r>
      <w:r>
        <w:rPr>
          <w:rFonts w:hint="eastAsia" w:ascii="楷体" w:hAnsi="楷体" w:eastAsia="楷体"/>
          <w:b/>
          <w:bCs w:val="0"/>
          <w:sz w:val="24"/>
          <w:highlight w:val="none"/>
          <w:lang w:val="en-US" w:eastAsia="zh-CN"/>
        </w:rPr>
        <w:t>平台</w:t>
      </w:r>
      <w:r>
        <w:rPr>
          <w:rFonts w:hint="eastAsia" w:ascii="楷体" w:hAnsi="楷体" w:eastAsia="楷体"/>
          <w:b/>
          <w:bCs w:val="0"/>
          <w:sz w:val="24"/>
          <w:highlight w:val="none"/>
        </w:rPr>
        <w:t>商务行为及资金管理运用的任何风险或责任</w:t>
      </w:r>
      <w:r>
        <w:rPr>
          <w:rFonts w:hint="eastAsia" w:ascii="楷体" w:hAnsi="楷体" w:eastAsia="楷体"/>
          <w:b/>
          <w:bCs w:val="0"/>
          <w:sz w:val="24"/>
          <w:highlight w:val="none"/>
          <w:lang w:eastAsia="zh-CN"/>
        </w:rPr>
        <w:t>，</w:t>
      </w:r>
      <w:r>
        <w:rPr>
          <w:rFonts w:hint="eastAsia" w:ascii="楷体" w:hAnsi="楷体" w:eastAsia="楷体"/>
          <w:b/>
          <w:bCs w:val="0"/>
          <w:sz w:val="24"/>
          <w:highlight w:val="none"/>
          <w:lang w:val="en-US" w:eastAsia="zh-CN"/>
        </w:rPr>
        <w:t>甲方</w:t>
      </w:r>
      <w:r>
        <w:rPr>
          <w:rFonts w:hint="eastAsia" w:ascii="楷体" w:hAnsi="楷体" w:eastAsia="楷体"/>
          <w:b/>
          <w:bCs w:val="0"/>
          <w:sz w:val="24"/>
          <w:highlight w:val="none"/>
        </w:rPr>
        <w:t>不负责审核</w:t>
      </w:r>
      <w:r>
        <w:rPr>
          <w:rFonts w:hint="eastAsia" w:ascii="楷体" w:hAnsi="楷体" w:eastAsia="楷体"/>
          <w:b/>
          <w:bCs w:val="0"/>
          <w:sz w:val="24"/>
          <w:highlight w:val="none"/>
          <w:lang w:val="en-US" w:eastAsia="zh-CN"/>
        </w:rPr>
        <w:t>平台</w:t>
      </w:r>
      <w:r>
        <w:rPr>
          <w:rFonts w:hint="eastAsia" w:ascii="楷体" w:hAnsi="楷体" w:eastAsia="楷体"/>
          <w:b/>
          <w:bCs w:val="0"/>
          <w:sz w:val="24"/>
          <w:highlight w:val="none"/>
        </w:rPr>
        <w:t>交易系统中的交易信息及数据、</w:t>
      </w:r>
      <w:r>
        <w:rPr>
          <w:rFonts w:hint="eastAsia" w:ascii="楷体" w:hAnsi="楷体" w:eastAsia="楷体"/>
          <w:b/>
          <w:bCs w:val="0"/>
          <w:sz w:val="24"/>
          <w:highlight w:val="none"/>
          <w:lang w:val="en-US" w:eastAsia="zh-CN"/>
        </w:rPr>
        <w:t>乙方</w:t>
      </w:r>
      <w:r>
        <w:rPr>
          <w:rFonts w:hint="eastAsia" w:ascii="楷体" w:hAnsi="楷体" w:eastAsia="楷体"/>
          <w:b/>
          <w:bCs w:val="0"/>
          <w:sz w:val="24"/>
          <w:highlight w:val="none"/>
        </w:rPr>
        <w:t>的真实身份及在</w:t>
      </w:r>
      <w:r>
        <w:rPr>
          <w:rFonts w:hint="eastAsia" w:ascii="楷体" w:hAnsi="楷体" w:eastAsia="楷体"/>
          <w:b/>
          <w:bCs w:val="0"/>
          <w:sz w:val="24"/>
          <w:highlight w:val="none"/>
          <w:lang w:val="en-US" w:eastAsia="zh-CN"/>
        </w:rPr>
        <w:t>平台的</w:t>
      </w:r>
      <w:r>
        <w:rPr>
          <w:rFonts w:hint="eastAsia" w:ascii="楷体" w:hAnsi="楷体" w:eastAsia="楷体"/>
          <w:b/>
          <w:bCs w:val="0"/>
          <w:sz w:val="24"/>
          <w:highlight w:val="none"/>
        </w:rPr>
        <w:t>交易账户信息，不对由</w:t>
      </w:r>
      <w:r>
        <w:rPr>
          <w:rFonts w:hint="eastAsia" w:ascii="楷体" w:hAnsi="楷体" w:eastAsia="楷体"/>
          <w:b/>
          <w:bCs w:val="0"/>
          <w:sz w:val="24"/>
          <w:highlight w:val="none"/>
          <w:lang w:val="en-US" w:eastAsia="zh-CN"/>
        </w:rPr>
        <w:t>乙方及平台</w:t>
      </w:r>
      <w:r>
        <w:rPr>
          <w:rFonts w:hint="eastAsia" w:ascii="楷体" w:hAnsi="楷体" w:eastAsia="楷体"/>
          <w:b/>
          <w:bCs w:val="0"/>
          <w:sz w:val="24"/>
          <w:highlight w:val="none"/>
        </w:rPr>
        <w:t>生成、存储、控制的相关数据和信息的真实性、准确性负责。若因</w:t>
      </w:r>
      <w:r>
        <w:rPr>
          <w:rFonts w:hint="eastAsia" w:ascii="楷体" w:hAnsi="楷体" w:eastAsia="楷体"/>
          <w:b/>
          <w:bCs w:val="0"/>
          <w:sz w:val="24"/>
          <w:highlight w:val="none"/>
          <w:lang w:val="en-US" w:eastAsia="zh-CN"/>
        </w:rPr>
        <w:t>乙方或平台</w:t>
      </w:r>
      <w:r>
        <w:rPr>
          <w:rFonts w:hint="eastAsia" w:ascii="楷体" w:hAnsi="楷体" w:eastAsia="楷体"/>
          <w:b/>
          <w:bCs w:val="0"/>
          <w:sz w:val="24"/>
          <w:highlight w:val="none"/>
        </w:rPr>
        <w:t>欺诈、管理不严、疏忽大意、</w:t>
      </w:r>
      <w:r>
        <w:rPr>
          <w:rFonts w:hint="eastAsia" w:ascii="楷体" w:hAnsi="楷体" w:eastAsia="楷体"/>
          <w:b/>
          <w:bCs w:val="0"/>
          <w:sz w:val="24"/>
          <w:highlight w:val="none"/>
          <w:lang w:val="en-US" w:eastAsia="zh-CN"/>
        </w:rPr>
        <w:t>平台</w:t>
      </w:r>
      <w:r>
        <w:rPr>
          <w:rFonts w:hint="eastAsia" w:ascii="楷体" w:hAnsi="楷体" w:eastAsia="楷体"/>
          <w:b/>
          <w:bCs w:val="0"/>
          <w:sz w:val="24"/>
          <w:highlight w:val="none"/>
        </w:rPr>
        <w:t>系统故障或相关数据/指令发生错误导致的任何风险和损失，均由</w:t>
      </w:r>
      <w:r>
        <w:rPr>
          <w:rFonts w:hint="eastAsia" w:ascii="楷体" w:hAnsi="楷体" w:eastAsia="楷体"/>
          <w:b/>
          <w:bCs w:val="0"/>
          <w:sz w:val="24"/>
          <w:highlight w:val="none"/>
          <w:lang w:val="en-US" w:eastAsia="zh-CN"/>
        </w:rPr>
        <w:t>乙方</w:t>
      </w:r>
      <w:r>
        <w:rPr>
          <w:rFonts w:hint="default" w:ascii="楷体" w:hAnsi="楷体" w:eastAsia="楷体"/>
          <w:b/>
          <w:bCs w:val="0"/>
          <w:sz w:val="24"/>
          <w:highlight w:val="none"/>
          <w:lang w:val="en-US" w:eastAsia="zh-CN"/>
        </w:rPr>
        <w:t>或</w:t>
      </w:r>
      <w:r>
        <w:rPr>
          <w:rFonts w:hint="eastAsia" w:ascii="楷体" w:hAnsi="楷体" w:eastAsia="楷体"/>
          <w:b/>
          <w:bCs w:val="0"/>
          <w:sz w:val="24"/>
          <w:highlight w:val="none"/>
          <w:lang w:val="en-US" w:eastAsia="zh-CN"/>
        </w:rPr>
        <w:t>平台</w:t>
      </w:r>
      <w:r>
        <w:rPr>
          <w:rFonts w:hint="eastAsia" w:ascii="楷体" w:hAnsi="楷体" w:eastAsia="楷体"/>
          <w:b/>
          <w:bCs w:val="0"/>
          <w:sz w:val="24"/>
          <w:highlight w:val="none"/>
        </w:rPr>
        <w:t>承担。</w:t>
      </w:r>
    </w:p>
    <w:p>
      <w:pPr>
        <w:spacing w:line="560" w:lineRule="exact"/>
        <w:ind w:firstLine="480"/>
        <w:rPr>
          <w:rFonts w:hint="eastAsia" w:ascii="楷体" w:hAnsi="楷体" w:eastAsia="楷体"/>
          <w:b/>
          <w:bCs w:val="0"/>
          <w:sz w:val="24"/>
          <w:highlight w:val="none"/>
          <w:lang w:val="en-US" w:eastAsia="zh-CN"/>
        </w:rPr>
      </w:pPr>
      <w:r>
        <w:rPr>
          <w:rFonts w:hint="eastAsia" w:ascii="楷体" w:hAnsi="楷体" w:eastAsia="楷体"/>
          <w:b/>
          <w:bCs w:val="0"/>
          <w:sz w:val="24"/>
          <w:highlight w:val="none"/>
          <w:lang w:val="en-US" w:eastAsia="zh-CN"/>
        </w:rPr>
        <w:t>（二）因下列原因导致甲方无法正常提供本协议项下服务的，甲方不承担任何责任：</w:t>
      </w:r>
    </w:p>
    <w:p>
      <w:pPr>
        <w:spacing w:line="560" w:lineRule="exact"/>
        <w:ind w:firstLine="480"/>
        <w:rPr>
          <w:rFonts w:hint="eastAsia" w:ascii="楷体" w:hAnsi="楷体" w:eastAsia="楷体"/>
          <w:b/>
          <w:sz w:val="24"/>
          <w:highlight w:val="none"/>
        </w:rPr>
      </w:pPr>
      <w:r>
        <w:rPr>
          <w:rFonts w:hint="eastAsia" w:ascii="楷体" w:hAnsi="楷体" w:eastAsia="楷体"/>
          <w:b/>
          <w:sz w:val="24"/>
          <w:highlight w:val="none"/>
        </w:rPr>
        <w:t>1.</w:t>
      </w:r>
      <w:r>
        <w:rPr>
          <w:rFonts w:hint="eastAsia" w:ascii="楷体" w:hAnsi="楷体" w:eastAsia="楷体"/>
          <w:b/>
          <w:sz w:val="24"/>
          <w:highlight w:val="none"/>
          <w:lang w:val="en-US" w:eastAsia="zh-CN"/>
        </w:rPr>
        <w:t>甲</w:t>
      </w:r>
      <w:r>
        <w:rPr>
          <w:rFonts w:hint="eastAsia" w:ascii="楷体" w:hAnsi="楷体" w:eastAsia="楷体"/>
          <w:b/>
          <w:sz w:val="24"/>
          <w:highlight w:val="none"/>
        </w:rPr>
        <w:t>方接收到的指令信息不明、存在乱码、不完整、无法辨认或存在明显信息不匹配等错误的；</w:t>
      </w:r>
    </w:p>
    <w:p>
      <w:pPr>
        <w:spacing w:line="560" w:lineRule="exact"/>
        <w:ind w:firstLine="480"/>
        <w:rPr>
          <w:rFonts w:hint="eastAsia" w:ascii="楷体" w:hAnsi="楷体" w:eastAsia="楷体"/>
          <w:b/>
          <w:sz w:val="24"/>
          <w:highlight w:val="none"/>
        </w:rPr>
      </w:pPr>
      <w:r>
        <w:rPr>
          <w:rFonts w:hint="eastAsia" w:ascii="楷体" w:hAnsi="楷体" w:eastAsia="楷体"/>
          <w:b/>
          <w:sz w:val="24"/>
          <w:highlight w:val="none"/>
        </w:rPr>
        <w:t>2.交易资金账户、自有资金账户或用户资金登记簿余额不足，无法完成资金划转的；</w:t>
      </w:r>
    </w:p>
    <w:p>
      <w:pPr>
        <w:spacing w:line="560" w:lineRule="exact"/>
        <w:ind w:firstLine="480"/>
        <w:rPr>
          <w:rFonts w:hint="eastAsia" w:ascii="楷体" w:hAnsi="楷体" w:eastAsia="楷体"/>
          <w:b/>
          <w:sz w:val="24"/>
          <w:highlight w:val="none"/>
        </w:rPr>
      </w:pPr>
      <w:r>
        <w:rPr>
          <w:rFonts w:hint="eastAsia" w:ascii="楷体" w:hAnsi="楷体" w:eastAsia="楷体"/>
          <w:b/>
          <w:sz w:val="24"/>
          <w:highlight w:val="none"/>
        </w:rPr>
        <w:t>3.交易资金账户、自有资金账户或用户结算账户被依法冻结或被有权机关采取其它限制性措施的；</w:t>
      </w:r>
    </w:p>
    <w:p>
      <w:pPr>
        <w:spacing w:line="560" w:lineRule="exact"/>
        <w:ind w:firstLine="480"/>
        <w:rPr>
          <w:rFonts w:hint="eastAsia" w:ascii="楷体" w:hAnsi="楷体" w:eastAsia="楷体"/>
          <w:b/>
          <w:sz w:val="24"/>
          <w:highlight w:val="none"/>
        </w:rPr>
      </w:pPr>
      <w:r>
        <w:rPr>
          <w:rFonts w:hint="eastAsia" w:ascii="楷体" w:hAnsi="楷体" w:eastAsia="楷体"/>
          <w:b/>
          <w:sz w:val="24"/>
          <w:highlight w:val="none"/>
        </w:rPr>
        <w:t>4.</w:t>
      </w:r>
      <w:r>
        <w:rPr>
          <w:rFonts w:hint="eastAsia" w:ascii="楷体" w:hAnsi="楷体" w:eastAsia="楷体"/>
          <w:b/>
          <w:sz w:val="24"/>
          <w:highlight w:val="none"/>
          <w:lang w:val="en-US" w:eastAsia="zh-CN"/>
        </w:rPr>
        <w:t>乙</w:t>
      </w:r>
      <w:r>
        <w:rPr>
          <w:rFonts w:hint="eastAsia" w:ascii="楷体" w:hAnsi="楷体" w:eastAsia="楷体"/>
          <w:b/>
          <w:sz w:val="24"/>
          <w:highlight w:val="none"/>
        </w:rPr>
        <w:t>方操作不当或操作失误的；</w:t>
      </w:r>
    </w:p>
    <w:p>
      <w:pPr>
        <w:spacing w:line="560" w:lineRule="exact"/>
        <w:ind w:firstLine="480"/>
        <w:rPr>
          <w:rFonts w:hint="eastAsia" w:ascii="楷体" w:hAnsi="楷体" w:eastAsia="楷体"/>
          <w:b/>
          <w:bCs w:val="0"/>
          <w:sz w:val="24"/>
          <w:highlight w:val="none"/>
          <w:lang w:val="en-US" w:eastAsia="zh-CN"/>
        </w:rPr>
      </w:pPr>
      <w:r>
        <w:rPr>
          <w:rFonts w:hint="eastAsia" w:ascii="楷体" w:hAnsi="楷体" w:eastAsia="楷体"/>
          <w:b/>
          <w:sz w:val="24"/>
          <w:highlight w:val="none"/>
        </w:rPr>
        <w:t>5.不可抗力或其它不可归因于</w:t>
      </w:r>
      <w:r>
        <w:rPr>
          <w:rFonts w:hint="eastAsia" w:ascii="楷体" w:hAnsi="楷体" w:eastAsia="楷体"/>
          <w:b/>
          <w:sz w:val="24"/>
          <w:highlight w:val="none"/>
          <w:lang w:val="en-US" w:eastAsia="zh-CN"/>
        </w:rPr>
        <w:t>甲</w:t>
      </w:r>
      <w:r>
        <w:rPr>
          <w:rFonts w:hint="eastAsia" w:ascii="楷体" w:hAnsi="楷体" w:eastAsia="楷体"/>
          <w:b/>
          <w:sz w:val="24"/>
          <w:highlight w:val="none"/>
        </w:rPr>
        <w:t>方的情况。</w:t>
      </w:r>
    </w:p>
    <w:p>
      <w:pPr>
        <w:spacing w:line="560" w:lineRule="exact"/>
        <w:ind w:firstLine="482" w:firstLineChars="200"/>
        <w:rPr>
          <w:rFonts w:hint="eastAsia" w:ascii="楷体" w:hAnsi="楷体" w:eastAsia="楷体"/>
          <w:b/>
          <w:bCs w:val="0"/>
          <w:sz w:val="24"/>
          <w:highlight w:val="none"/>
        </w:rPr>
      </w:pPr>
      <w:r>
        <w:rPr>
          <w:rFonts w:hint="eastAsia" w:ascii="楷体" w:hAnsi="楷体" w:eastAsia="楷体"/>
          <w:b/>
          <w:bCs w:val="0"/>
          <w:sz w:val="24"/>
          <w:highlight w:val="none"/>
        </w:rPr>
        <w:t>（</w:t>
      </w:r>
      <w:r>
        <w:rPr>
          <w:rFonts w:hint="eastAsia" w:ascii="楷体" w:hAnsi="楷体" w:eastAsia="楷体"/>
          <w:b/>
          <w:bCs w:val="0"/>
          <w:sz w:val="24"/>
          <w:highlight w:val="none"/>
          <w:lang w:val="en-US" w:eastAsia="zh-CN"/>
        </w:rPr>
        <w:t>三</w:t>
      </w:r>
      <w:r>
        <w:rPr>
          <w:rFonts w:hint="eastAsia" w:ascii="楷体" w:hAnsi="楷体" w:eastAsia="楷体"/>
          <w:b/>
          <w:bCs w:val="0"/>
          <w:sz w:val="24"/>
          <w:highlight w:val="none"/>
        </w:rPr>
        <w:t>）</w:t>
      </w:r>
      <w:r>
        <w:rPr>
          <w:rFonts w:hint="eastAsia" w:ascii="楷体" w:hAnsi="楷体" w:eastAsia="楷体"/>
          <w:b/>
          <w:bCs w:val="0"/>
          <w:sz w:val="24"/>
          <w:highlight w:val="none"/>
          <w:lang w:val="en-US" w:eastAsia="zh-CN"/>
        </w:rPr>
        <w:t>乙方</w:t>
      </w:r>
      <w:r>
        <w:rPr>
          <w:rFonts w:hint="eastAsia" w:ascii="楷体" w:hAnsi="楷体" w:eastAsia="楷体"/>
          <w:b/>
          <w:bCs w:val="0"/>
          <w:sz w:val="24"/>
          <w:highlight w:val="none"/>
        </w:rPr>
        <w:t>违反本协议约定的，</w:t>
      </w:r>
      <w:r>
        <w:rPr>
          <w:rFonts w:hint="eastAsia" w:ascii="楷体" w:hAnsi="楷体" w:eastAsia="楷体"/>
          <w:b/>
          <w:bCs w:val="0"/>
          <w:sz w:val="24"/>
          <w:highlight w:val="none"/>
          <w:lang w:val="en-US" w:eastAsia="zh-CN"/>
        </w:rPr>
        <w:t>甲方</w:t>
      </w:r>
      <w:r>
        <w:rPr>
          <w:rFonts w:hint="eastAsia" w:ascii="楷体" w:hAnsi="楷体" w:eastAsia="楷体"/>
          <w:b/>
          <w:bCs w:val="0"/>
          <w:sz w:val="24"/>
          <w:highlight w:val="none"/>
        </w:rPr>
        <w:t>有权要求违约方立即纠正违约行为，同时有权解除本协议并终止本协议项下的业务服务，且无需承担任何违约责任。</w:t>
      </w:r>
    </w:p>
    <w:p>
      <w:pPr>
        <w:spacing w:line="560" w:lineRule="exact"/>
        <w:ind w:firstLine="482" w:firstLineChars="200"/>
        <w:rPr>
          <w:rFonts w:hint="eastAsia" w:ascii="楷体" w:hAnsi="楷体" w:eastAsia="楷体"/>
          <w:b/>
          <w:bCs/>
          <w:sz w:val="24"/>
          <w:highlight w:val="none"/>
        </w:rPr>
      </w:pPr>
    </w:p>
    <w:p>
      <w:pPr>
        <w:spacing w:line="560" w:lineRule="exact"/>
        <w:ind w:firstLine="482" w:firstLineChars="200"/>
        <w:rPr>
          <w:rFonts w:ascii="楷体" w:hAnsi="楷体" w:eastAsia="楷体"/>
          <w:b/>
          <w:bCs/>
          <w:sz w:val="24"/>
          <w:highlight w:val="none"/>
        </w:rPr>
      </w:pPr>
      <w:r>
        <w:rPr>
          <w:rFonts w:hint="eastAsia" w:ascii="楷体" w:hAnsi="楷体" w:eastAsia="楷体"/>
          <w:b/>
          <w:bCs/>
          <w:sz w:val="24"/>
          <w:highlight w:val="none"/>
        </w:rPr>
        <w:t>第</w:t>
      </w:r>
      <w:r>
        <w:rPr>
          <w:rFonts w:hint="eastAsia" w:ascii="楷体" w:hAnsi="楷体" w:eastAsia="楷体"/>
          <w:b/>
          <w:bCs/>
          <w:sz w:val="24"/>
          <w:highlight w:val="none"/>
          <w:lang w:val="en-US" w:eastAsia="zh-CN"/>
        </w:rPr>
        <w:t>五</w:t>
      </w:r>
      <w:r>
        <w:rPr>
          <w:rFonts w:hint="eastAsia" w:ascii="楷体" w:hAnsi="楷体" w:eastAsia="楷体"/>
          <w:b/>
          <w:bCs/>
          <w:sz w:val="24"/>
          <w:highlight w:val="none"/>
        </w:rPr>
        <w:t>条 保密条款</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一）双方因本协议而获悉对方之商业秘密、技术、文件或其他保密资料以及本协议（包括但不限于：纸制文件及其他介质文件和数据）等，非经对方书面同意，不得用作本协议以外的其他目的，且不得泄露与任何第三方，否则视为违约。</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（二）出现下述情形之一的，不视为违反保密义务：</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1.所涉信息已成为公开渠道可以获取的信息；</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2.所涉信息经双方一致认为不属于保密范围内的信息；</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3.所涉信息为一方为履行工作职责而向需知保密信息的本方雇员或为本方提供法律服务、审计服务等中介服务的机构提供，但该方仍需保证本方雇员和中介服务机构按照本协议约定承担保密义务；</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4.一方根据国家法律法规、行政规章或其他规范性文件或有关政府机关或监管部门的规定或指令需向第三方或公众披露相关保密信息的。</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如果本协议任何一方能够证明存在第4项之情形，则其可以披露保密信息，但在相关法律法规及有权机关允许的前提下，在披露之前需书面通知另一方并说明需要披露的具体内容及理由。</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（三）除法律法规另有规定外，本协议履行完毕或解除、终止后，接受方应立即向披露方返还保密信息；对于不能返还的保密信息，接受方应立即予以销毁。</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（四）任何一方违反本协议项下的保密义务给另一方造成损失的，违约方应向守约方承担赔偿责任。</w:t>
      </w:r>
    </w:p>
    <w:p>
      <w:pPr>
        <w:spacing w:line="560" w:lineRule="exact"/>
        <w:ind w:firstLine="480" w:firstLineChars="200"/>
        <w:rPr>
          <w:rFonts w:hint="eastAsia" w:ascii="楷体" w:hAnsi="楷体" w:eastAsia="楷体"/>
          <w:b/>
          <w:bCs/>
          <w:sz w:val="24"/>
          <w:highlight w:val="none"/>
        </w:rPr>
      </w:pPr>
      <w:r>
        <w:rPr>
          <w:rFonts w:hint="eastAsia" w:ascii="楷体" w:hAnsi="楷体" w:eastAsia="楷体"/>
          <w:bCs/>
          <w:sz w:val="24"/>
          <w:highlight w:val="none"/>
        </w:rPr>
        <w:t>（五）本协议的解除、终止、失效不影响本协议保密条款的效力。</w:t>
      </w:r>
    </w:p>
    <w:p>
      <w:pPr>
        <w:spacing w:line="560" w:lineRule="exact"/>
        <w:ind w:firstLine="482" w:firstLineChars="200"/>
        <w:rPr>
          <w:rFonts w:ascii="楷体" w:hAnsi="楷体" w:eastAsia="楷体"/>
          <w:b/>
          <w:bCs/>
          <w:sz w:val="24"/>
          <w:highlight w:val="none"/>
        </w:rPr>
      </w:pPr>
      <w:r>
        <w:rPr>
          <w:rFonts w:hint="eastAsia" w:ascii="楷体" w:hAnsi="楷体" w:eastAsia="楷体"/>
          <w:b/>
          <w:bCs/>
          <w:sz w:val="24"/>
          <w:highlight w:val="none"/>
        </w:rPr>
        <w:t>第</w:t>
      </w:r>
      <w:r>
        <w:rPr>
          <w:rFonts w:hint="eastAsia" w:ascii="楷体" w:hAnsi="楷体" w:eastAsia="楷体"/>
          <w:b/>
          <w:bCs/>
          <w:sz w:val="24"/>
          <w:highlight w:val="none"/>
          <w:lang w:val="en-US" w:eastAsia="zh-CN"/>
        </w:rPr>
        <w:t>六</w:t>
      </w:r>
      <w:r>
        <w:rPr>
          <w:rFonts w:hint="eastAsia" w:ascii="楷体" w:hAnsi="楷体" w:eastAsia="楷体"/>
          <w:b/>
          <w:bCs/>
          <w:sz w:val="24"/>
          <w:highlight w:val="none"/>
        </w:rPr>
        <w:t>条 法律适用与争议解决</w:t>
      </w:r>
    </w:p>
    <w:p>
      <w:pPr>
        <w:spacing w:line="560" w:lineRule="exact"/>
        <w:ind w:firstLine="480" w:firstLineChars="200"/>
        <w:rPr>
          <w:rFonts w:hint="eastAsia" w:ascii="楷体" w:hAnsi="楷体" w:eastAsia="楷体"/>
          <w:bCs/>
          <w:sz w:val="24"/>
          <w:highlight w:val="none"/>
        </w:rPr>
      </w:pPr>
      <w:r>
        <w:rPr>
          <w:rFonts w:hint="eastAsia" w:ascii="楷体" w:hAnsi="楷体" w:eastAsia="楷体"/>
          <w:bCs/>
          <w:sz w:val="24"/>
          <w:highlight w:val="none"/>
        </w:rPr>
        <w:t>（一）本协议的签订、成立、生效、解释，履行、终止以及争议之解决均适用中华人民共和国法律（为本协议之目的，不包括香港特别行政区、澳门特别行政区和台湾地区法律）。</w:t>
      </w:r>
    </w:p>
    <w:p>
      <w:pPr>
        <w:spacing w:line="560" w:lineRule="exact"/>
        <w:ind w:firstLine="480" w:firstLineChars="200"/>
        <w:rPr>
          <w:rFonts w:hint="eastAsia" w:ascii="楷体" w:hAnsi="楷体" w:eastAsia="楷体"/>
          <w:b/>
          <w:bCs/>
          <w:sz w:val="24"/>
          <w:highlight w:val="none"/>
        </w:rPr>
      </w:pPr>
      <w:r>
        <w:rPr>
          <w:rFonts w:hint="eastAsia" w:ascii="楷体" w:hAnsi="楷体" w:eastAsia="楷体"/>
          <w:bCs/>
          <w:sz w:val="24"/>
          <w:highlight w:val="none"/>
        </w:rPr>
        <w:t>（二）各方就本协议发生纠纷的，应通过友好协商解决；协商不成的，任何一方均可向乙方所在地有管辖权的人民法院提起诉讼。</w:t>
      </w:r>
    </w:p>
    <w:p>
      <w:pPr>
        <w:spacing w:line="560" w:lineRule="exact"/>
        <w:ind w:firstLine="482" w:firstLineChars="200"/>
        <w:rPr>
          <w:rFonts w:hint="eastAsia" w:ascii="楷体" w:hAnsi="楷体" w:eastAsia="楷体"/>
          <w:b/>
          <w:bCs/>
          <w:sz w:val="24"/>
          <w:highlight w:val="none"/>
        </w:rPr>
      </w:pPr>
    </w:p>
    <w:p>
      <w:pPr>
        <w:spacing w:line="560" w:lineRule="exact"/>
        <w:ind w:firstLine="482" w:firstLineChars="200"/>
        <w:rPr>
          <w:rFonts w:hint="default" w:ascii="楷体" w:hAnsi="楷体" w:eastAsia="楷体"/>
          <w:b/>
          <w:bCs/>
          <w:sz w:val="24"/>
          <w:highlight w:val="none"/>
          <w:lang w:val="en-US" w:eastAsia="zh-CN"/>
        </w:rPr>
      </w:pPr>
      <w:r>
        <w:rPr>
          <w:rFonts w:hint="eastAsia" w:ascii="楷体" w:hAnsi="楷体" w:eastAsia="楷体"/>
          <w:b/>
          <w:bCs/>
          <w:sz w:val="24"/>
          <w:highlight w:val="none"/>
        </w:rPr>
        <w:t>第</w:t>
      </w:r>
      <w:r>
        <w:rPr>
          <w:rFonts w:hint="eastAsia" w:ascii="楷体" w:hAnsi="楷体" w:eastAsia="楷体"/>
          <w:b/>
          <w:bCs/>
          <w:sz w:val="24"/>
          <w:highlight w:val="none"/>
          <w:lang w:val="en-US" w:eastAsia="zh-CN"/>
        </w:rPr>
        <w:t>七</w:t>
      </w:r>
      <w:r>
        <w:rPr>
          <w:rFonts w:hint="eastAsia" w:ascii="楷体" w:hAnsi="楷体" w:eastAsia="楷体"/>
          <w:b/>
          <w:bCs/>
          <w:sz w:val="24"/>
          <w:highlight w:val="none"/>
        </w:rPr>
        <w:t xml:space="preserve">条 </w:t>
      </w:r>
      <w:r>
        <w:rPr>
          <w:rFonts w:hint="eastAsia" w:ascii="楷体" w:hAnsi="楷体" w:eastAsia="楷体"/>
          <w:b/>
          <w:bCs/>
          <w:sz w:val="24"/>
          <w:highlight w:val="none"/>
          <w:lang w:val="en-US" w:eastAsia="zh-CN"/>
        </w:rPr>
        <w:t>通知条款</w:t>
      </w:r>
    </w:p>
    <w:p>
      <w:pPr>
        <w:overflowPunct w:val="0"/>
        <w:autoSpaceDE w:val="0"/>
        <w:autoSpaceDN w:val="0"/>
        <w:adjustRightInd w:val="0"/>
        <w:spacing w:line="360" w:lineRule="auto"/>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甲方有权依据法律、法规、规章或业务需要对本协议及各类规则不时进行调整或修改，涉及乙方权利义务变更的调整或修改，将以网站公示</w:t>
      </w:r>
      <w:r>
        <w:rPr>
          <w:rFonts w:hint="eastAsia" w:ascii="楷体" w:hAnsi="楷体" w:eastAsia="楷体"/>
          <w:sz w:val="24"/>
          <w:szCs w:val="24"/>
          <w:highlight w:val="none"/>
          <w:lang w:val="en-US" w:eastAsia="zh-CN"/>
        </w:rPr>
        <w:t>或通过平台向乙方发送通知的方式告知</w:t>
      </w:r>
      <w:r>
        <w:rPr>
          <w:rFonts w:hint="eastAsia" w:ascii="楷体" w:hAnsi="楷体" w:eastAsia="楷体"/>
          <w:sz w:val="24"/>
          <w:szCs w:val="24"/>
          <w:highlight w:val="none"/>
        </w:rPr>
        <w:t>，</w:t>
      </w:r>
      <w:r>
        <w:rPr>
          <w:rFonts w:hint="eastAsia" w:ascii="楷体" w:hAnsi="楷体" w:eastAsia="楷体"/>
          <w:sz w:val="24"/>
          <w:szCs w:val="24"/>
          <w:highlight w:val="none"/>
          <w:lang w:val="en-US" w:eastAsia="zh-CN"/>
        </w:rPr>
        <w:t>甲方</w:t>
      </w:r>
      <w:r>
        <w:rPr>
          <w:rFonts w:hint="eastAsia" w:ascii="楷体" w:hAnsi="楷体" w:eastAsia="楷体"/>
          <w:sz w:val="24"/>
          <w:szCs w:val="24"/>
          <w:highlight w:val="none"/>
        </w:rPr>
        <w:t>不再单独</w:t>
      </w:r>
      <w:r>
        <w:rPr>
          <w:rFonts w:hint="eastAsia" w:ascii="楷体" w:hAnsi="楷体" w:eastAsia="楷体"/>
          <w:sz w:val="24"/>
          <w:szCs w:val="24"/>
          <w:highlight w:val="none"/>
          <w:lang w:val="en-US" w:eastAsia="zh-CN"/>
        </w:rPr>
        <w:t>向</w:t>
      </w:r>
      <w:r>
        <w:rPr>
          <w:rFonts w:hint="eastAsia" w:ascii="楷体" w:hAnsi="楷体" w:eastAsia="楷体"/>
          <w:sz w:val="24"/>
          <w:szCs w:val="24"/>
          <w:highlight w:val="none"/>
        </w:rPr>
        <w:t>乙方</w:t>
      </w:r>
      <w:r>
        <w:rPr>
          <w:rFonts w:hint="eastAsia" w:ascii="楷体" w:hAnsi="楷体" w:eastAsia="楷体"/>
          <w:sz w:val="24"/>
          <w:szCs w:val="24"/>
          <w:highlight w:val="none"/>
          <w:lang w:val="en-US" w:eastAsia="zh-CN"/>
        </w:rPr>
        <w:t>发送通知</w:t>
      </w:r>
      <w:r>
        <w:rPr>
          <w:rFonts w:hint="eastAsia" w:ascii="楷体" w:hAnsi="楷体" w:eastAsia="楷体"/>
          <w:sz w:val="24"/>
          <w:szCs w:val="24"/>
          <w:highlight w:val="none"/>
        </w:rPr>
        <w:t>。自公告施行之日</w:t>
      </w:r>
      <w:r>
        <w:rPr>
          <w:rFonts w:hint="eastAsia" w:ascii="楷体" w:hAnsi="楷体" w:eastAsia="楷体"/>
          <w:sz w:val="24"/>
          <w:szCs w:val="24"/>
          <w:highlight w:val="none"/>
          <w:lang w:val="en-US" w:eastAsia="zh-CN"/>
        </w:rPr>
        <w:t>或平台通知送达之日起</w:t>
      </w:r>
      <w:r>
        <w:rPr>
          <w:rFonts w:hint="eastAsia" w:ascii="楷体" w:hAnsi="楷体" w:eastAsia="楷体"/>
          <w:sz w:val="24"/>
          <w:szCs w:val="24"/>
          <w:highlight w:val="none"/>
        </w:rPr>
        <w:t>公告内容构成对各方协议约定的有效修改和补充。如果乙方不同意接受调整或修改的内容，应当立即停止使用甲方本协议项下服务，甲方对此不承担任何法律责任和费用补偿。乙方继续使用甲方本协议项下服务的，即视为乙方接受经调整或修改的协议和规则。</w:t>
      </w:r>
    </w:p>
    <w:p>
      <w:pPr>
        <w:pStyle w:val="2"/>
        <w:rPr>
          <w:rFonts w:hint="eastAsia"/>
        </w:rPr>
      </w:pPr>
    </w:p>
    <w:p>
      <w:pPr>
        <w:spacing w:line="560" w:lineRule="exact"/>
        <w:ind w:firstLine="482" w:firstLineChars="200"/>
        <w:rPr>
          <w:rFonts w:hint="eastAsia" w:ascii="楷体" w:hAnsi="楷体" w:eastAsia="楷体"/>
          <w:b/>
          <w:sz w:val="24"/>
          <w:highlight w:val="none"/>
        </w:rPr>
      </w:pPr>
      <w:r>
        <w:rPr>
          <w:rFonts w:hint="eastAsia" w:ascii="楷体" w:hAnsi="楷体" w:eastAsia="楷体"/>
          <w:b/>
          <w:sz w:val="24"/>
          <w:highlight w:val="none"/>
        </w:rPr>
        <w:t>第</w:t>
      </w:r>
      <w:r>
        <w:rPr>
          <w:rFonts w:hint="eastAsia" w:ascii="楷体" w:hAnsi="楷体" w:eastAsia="楷体"/>
          <w:b/>
          <w:sz w:val="24"/>
          <w:highlight w:val="none"/>
          <w:lang w:val="en-US" w:eastAsia="zh-CN"/>
        </w:rPr>
        <w:t>八</w:t>
      </w:r>
      <w:r>
        <w:rPr>
          <w:rFonts w:hint="eastAsia" w:ascii="楷体" w:hAnsi="楷体" w:eastAsia="楷体"/>
          <w:b/>
          <w:sz w:val="24"/>
          <w:highlight w:val="none"/>
        </w:rPr>
        <w:t>条 协议的生效及效力</w:t>
      </w:r>
    </w:p>
    <w:p>
      <w:pPr>
        <w:spacing w:line="560" w:lineRule="exact"/>
        <w:ind w:firstLine="482" w:firstLineChars="200"/>
        <w:rPr>
          <w:rFonts w:hint="eastAsia" w:ascii="楷体" w:hAnsi="楷体" w:eastAsia="楷体"/>
          <w:b/>
          <w:sz w:val="24"/>
          <w:highlight w:val="none"/>
        </w:rPr>
      </w:pPr>
      <w:r>
        <w:rPr>
          <w:rFonts w:hint="eastAsia" w:ascii="楷体" w:hAnsi="楷体" w:eastAsia="楷体"/>
          <w:b/>
          <w:sz w:val="24"/>
          <w:highlight w:val="none"/>
        </w:rPr>
        <w:t>（一）</w:t>
      </w:r>
      <w:r>
        <w:rPr>
          <w:rFonts w:hint="eastAsia" w:ascii="楷体" w:hAnsi="楷体" w:eastAsia="楷体"/>
          <w:b/>
          <w:sz w:val="24"/>
          <w:highlight w:val="none"/>
        </w:rPr>
        <w:t>本协议的生效，甲乙双方均同意采取以下第【 】种方式为准：</w:t>
      </w:r>
    </w:p>
    <w:p>
      <w:pPr>
        <w:spacing w:line="560" w:lineRule="exact"/>
        <w:ind w:firstLine="482" w:firstLineChars="200"/>
        <w:rPr>
          <w:rFonts w:hint="eastAsia" w:ascii="楷体" w:hAnsi="楷体" w:eastAsia="楷体"/>
          <w:b/>
          <w:sz w:val="24"/>
          <w:highlight w:val="none"/>
        </w:rPr>
      </w:pPr>
      <w:r>
        <w:rPr>
          <w:rFonts w:hint="eastAsia" w:ascii="楷体" w:hAnsi="楷体" w:eastAsia="楷体"/>
          <w:b/>
          <w:sz w:val="24"/>
          <w:highlight w:val="none"/>
        </w:rPr>
        <w:t>1.（机构适用）本协议经甲方负责人或授权代理人和乙方法定代表人或授权代理人签章（签字或加盖名章）并加盖公章或合同专用章后生效。</w:t>
      </w:r>
    </w:p>
    <w:p>
      <w:pPr>
        <w:spacing w:line="560" w:lineRule="exact"/>
        <w:ind w:firstLine="482" w:firstLineChars="200"/>
        <w:rPr>
          <w:rFonts w:hint="eastAsia" w:ascii="楷体" w:hAnsi="楷体" w:eastAsia="楷体"/>
          <w:b/>
          <w:sz w:val="24"/>
          <w:highlight w:val="none"/>
        </w:rPr>
      </w:pPr>
      <w:r>
        <w:rPr>
          <w:rFonts w:hint="eastAsia" w:ascii="楷体" w:hAnsi="楷体" w:eastAsia="楷体"/>
          <w:b/>
          <w:sz w:val="24"/>
          <w:highlight w:val="none"/>
        </w:rPr>
        <w:t>（个人适用）本协议经甲方负责人或授权代理人签章（签字或加盖名章）并加盖公章或合同专用章和乙方本人签字后生效。</w:t>
      </w:r>
    </w:p>
    <w:p>
      <w:pPr>
        <w:spacing w:line="560" w:lineRule="exact"/>
        <w:ind w:firstLine="482" w:firstLineChars="200"/>
        <w:rPr>
          <w:rFonts w:hint="eastAsia" w:ascii="楷体" w:hAnsi="楷体" w:eastAsia="楷体"/>
          <w:b/>
          <w:sz w:val="24"/>
          <w:highlight w:val="none"/>
        </w:rPr>
      </w:pPr>
      <w:r>
        <w:rPr>
          <w:rFonts w:hint="eastAsia" w:ascii="楷体" w:hAnsi="楷体" w:eastAsia="楷体"/>
          <w:b/>
          <w:sz w:val="24"/>
          <w:highlight w:val="none"/>
        </w:rPr>
        <w:t>2.</w:t>
      </w:r>
      <w:r>
        <w:rPr>
          <w:rFonts w:hint="eastAsia" w:ascii="楷体" w:hAnsi="楷体" w:eastAsia="楷体"/>
          <w:b/>
          <w:sz w:val="24"/>
          <w:highlight w:val="none"/>
        </w:rPr>
        <w:t>本协议由乙方在平台提供的系统服务界面通过网络点击“签署”或“同意”的方式签署</w:t>
      </w:r>
      <w:r>
        <w:rPr>
          <w:rFonts w:hint="eastAsia" w:ascii="楷体" w:hAnsi="楷体" w:eastAsia="楷体"/>
          <w:b/>
          <w:sz w:val="24"/>
          <w:highlight w:val="none"/>
          <w:lang w:val="en-US" w:eastAsia="zh-CN"/>
        </w:rPr>
        <w:t>或通过平台提供的线下方式进行签署</w:t>
      </w:r>
      <w:r>
        <w:rPr>
          <w:rFonts w:hint="eastAsia" w:ascii="楷体" w:hAnsi="楷体" w:eastAsia="楷体"/>
          <w:b/>
          <w:sz w:val="24"/>
          <w:highlight w:val="none"/>
          <w:lang w:eastAsia="zh-CN"/>
        </w:rPr>
        <w:t>，</w:t>
      </w:r>
      <w:r>
        <w:rPr>
          <w:rFonts w:hint="eastAsia" w:ascii="楷体" w:hAnsi="楷体" w:eastAsia="楷体"/>
          <w:b/>
          <w:sz w:val="24"/>
          <w:highlight w:val="none"/>
        </w:rPr>
        <w:t>于系统</w:t>
      </w:r>
      <w:r>
        <w:rPr>
          <w:rFonts w:hint="eastAsia" w:ascii="楷体" w:hAnsi="楷体" w:eastAsia="楷体"/>
          <w:b/>
          <w:sz w:val="24"/>
          <w:highlight w:val="none"/>
          <w:lang w:val="en-US" w:eastAsia="zh-CN"/>
        </w:rPr>
        <w:t>或线下协议文本</w:t>
      </w:r>
      <w:r>
        <w:rPr>
          <w:rFonts w:hint="eastAsia" w:ascii="楷体" w:hAnsi="楷体" w:eastAsia="楷体"/>
          <w:b/>
          <w:sz w:val="24"/>
          <w:highlight w:val="none"/>
        </w:rPr>
        <w:t>记录的签约日期之日起发生法律效力。</w:t>
      </w:r>
    </w:p>
    <w:p>
      <w:pPr>
        <w:spacing w:line="560" w:lineRule="exact"/>
        <w:ind w:firstLine="482" w:firstLineChars="200"/>
        <w:rPr>
          <w:rFonts w:hint="eastAsia" w:ascii="楷体" w:hAnsi="楷体" w:eastAsia="楷体"/>
          <w:b/>
          <w:sz w:val="24"/>
          <w:highlight w:val="none"/>
          <w:lang w:val="en-US" w:eastAsia="zh-CN"/>
        </w:rPr>
      </w:pPr>
      <w:r>
        <w:rPr>
          <w:rFonts w:hint="eastAsia" w:ascii="楷体" w:hAnsi="楷体" w:eastAsia="楷体"/>
          <w:b/>
          <w:sz w:val="24"/>
          <w:highlight w:val="none"/>
        </w:rPr>
        <w:t>（二）</w:t>
      </w:r>
      <w:r>
        <w:rPr>
          <w:rFonts w:hint="eastAsia" w:ascii="楷体" w:hAnsi="楷体" w:eastAsia="楷体"/>
          <w:b/>
          <w:sz w:val="24"/>
          <w:highlight w:val="none"/>
          <w:lang w:val="en-US" w:eastAsia="zh-CN"/>
        </w:rPr>
        <w:t>如甲方与平台签署的相关业务合作协议失效，或乙方与平台之间的服务协议失效或发生其他乙方与平台合作终止的情况，则本协议也随之失效。</w:t>
      </w:r>
    </w:p>
    <w:p>
      <w:pPr>
        <w:pStyle w:val="2"/>
        <w:rPr>
          <w:rFonts w:hint="eastAsia"/>
          <w:lang w:eastAsia="zh-CN"/>
        </w:rPr>
      </w:pPr>
    </w:p>
    <w:p>
      <w:pPr>
        <w:spacing w:line="560" w:lineRule="exact"/>
        <w:ind w:firstLine="482" w:firstLineChars="200"/>
        <w:rPr>
          <w:rFonts w:ascii="楷体" w:hAnsi="楷体" w:eastAsia="楷体"/>
          <w:b/>
          <w:sz w:val="24"/>
          <w:highlight w:val="none"/>
        </w:rPr>
      </w:pPr>
      <w:r>
        <w:rPr>
          <w:rFonts w:hint="eastAsia" w:ascii="楷体" w:hAnsi="楷体" w:eastAsia="楷体"/>
          <w:b/>
          <w:sz w:val="24"/>
          <w:highlight w:val="none"/>
        </w:rPr>
        <w:t>第</w:t>
      </w:r>
      <w:r>
        <w:rPr>
          <w:rFonts w:hint="eastAsia" w:ascii="楷体" w:hAnsi="楷体" w:eastAsia="楷体"/>
          <w:b/>
          <w:sz w:val="24"/>
          <w:highlight w:val="none"/>
          <w:lang w:val="en-US" w:eastAsia="zh-CN"/>
        </w:rPr>
        <w:t>九</w:t>
      </w:r>
      <w:r>
        <w:rPr>
          <w:rFonts w:hint="eastAsia" w:ascii="楷体" w:hAnsi="楷体" w:eastAsia="楷体"/>
          <w:b/>
          <w:sz w:val="24"/>
          <w:highlight w:val="none"/>
        </w:rPr>
        <w:t xml:space="preserve">条 </w:t>
      </w:r>
      <w:r>
        <w:rPr>
          <w:rFonts w:hint="eastAsia" w:ascii="楷体" w:hAnsi="楷体" w:eastAsia="楷体"/>
          <w:b/>
          <w:bCs/>
          <w:sz w:val="24"/>
          <w:highlight w:val="none"/>
        </w:rPr>
        <w:t>其他约定</w:t>
      </w:r>
    </w:p>
    <w:p>
      <w:pPr>
        <w:spacing w:line="560" w:lineRule="exact"/>
        <w:ind w:firstLine="482" w:firstLineChars="200"/>
        <w:rPr>
          <w:rFonts w:ascii="楷体" w:hAnsi="楷体" w:eastAsia="楷体"/>
          <w:b/>
          <w:bCs w:val="0"/>
          <w:sz w:val="24"/>
          <w:highlight w:val="none"/>
        </w:rPr>
      </w:pPr>
      <w:r>
        <w:rPr>
          <w:rFonts w:hint="eastAsia" w:ascii="楷体" w:hAnsi="楷体" w:eastAsia="楷体"/>
          <w:b/>
          <w:bCs w:val="0"/>
          <w:sz w:val="24"/>
          <w:highlight w:val="none"/>
        </w:rPr>
        <w:t>（一）甲方因法律法规、监管规定变化或者监管部门要求，不能履行或不能按照本协议约定履行</w:t>
      </w:r>
      <w:r>
        <w:rPr>
          <w:rFonts w:hint="eastAsia" w:ascii="楷体" w:hAnsi="楷体" w:eastAsia="楷体"/>
          <w:b/>
          <w:bCs w:val="0"/>
          <w:sz w:val="24"/>
          <w:highlight w:val="none"/>
          <w:lang w:val="en-US" w:eastAsia="zh-CN"/>
        </w:rPr>
        <w:t>相关</w:t>
      </w:r>
      <w:r>
        <w:rPr>
          <w:rFonts w:hint="eastAsia" w:ascii="楷体" w:hAnsi="楷体" w:eastAsia="楷体"/>
          <w:b/>
          <w:bCs w:val="0"/>
          <w:sz w:val="24"/>
          <w:highlight w:val="none"/>
        </w:rPr>
        <w:t>义务的，甲方有权终止或依据法律法规、监管规定变化或监管部门要求变更履行本协议。因该种原因致协议终止或变更使甲方不能履行或不能按照协议约定履行管理义务的，甲方免除责任。</w:t>
      </w:r>
    </w:p>
    <w:p>
      <w:pPr>
        <w:spacing w:line="560" w:lineRule="exact"/>
        <w:ind w:firstLine="480" w:firstLineChars="200"/>
        <w:rPr>
          <w:rFonts w:ascii="楷体" w:hAnsi="楷体" w:eastAsia="楷体"/>
          <w:bCs/>
          <w:sz w:val="24"/>
          <w:highlight w:val="none"/>
        </w:rPr>
      </w:pPr>
      <w:r>
        <w:rPr>
          <w:rFonts w:hint="eastAsia" w:ascii="楷体" w:hAnsi="楷体" w:eastAsia="楷体"/>
          <w:bCs/>
          <w:sz w:val="24"/>
          <w:highlight w:val="none"/>
        </w:rPr>
        <w:t>（二）本协议</w:t>
      </w:r>
      <w:r>
        <w:rPr>
          <w:rFonts w:ascii="楷体" w:hAnsi="楷体" w:eastAsia="楷体"/>
          <w:bCs/>
          <w:sz w:val="24"/>
          <w:highlight w:val="none"/>
        </w:rPr>
        <w:t>项下各项服务</w:t>
      </w:r>
      <w:r>
        <w:rPr>
          <w:rFonts w:hint="eastAsia" w:ascii="楷体" w:hAnsi="楷体" w:eastAsia="楷体"/>
          <w:bCs/>
          <w:sz w:val="24"/>
          <w:highlight w:val="none"/>
        </w:rPr>
        <w:t>中包括但不限于文字、软件、声音、图片、广告、图表、邮件等内容均受版权、商标、标签和其他财产所有权等有关法律的保护，甲方</w:t>
      </w:r>
      <w:r>
        <w:rPr>
          <w:rFonts w:ascii="楷体" w:hAnsi="楷体" w:eastAsia="楷体"/>
          <w:bCs/>
          <w:sz w:val="24"/>
          <w:highlight w:val="none"/>
        </w:rPr>
        <w:t>依法对相关内容享有</w:t>
      </w:r>
      <w:r>
        <w:rPr>
          <w:rFonts w:hint="eastAsia" w:ascii="楷体" w:hAnsi="楷体" w:eastAsia="楷体"/>
          <w:bCs/>
          <w:sz w:val="24"/>
          <w:highlight w:val="none"/>
        </w:rPr>
        <w:t>一切</w:t>
      </w:r>
      <w:r>
        <w:rPr>
          <w:rFonts w:ascii="楷体" w:hAnsi="楷体" w:eastAsia="楷体"/>
          <w:bCs/>
          <w:sz w:val="24"/>
          <w:highlight w:val="none"/>
        </w:rPr>
        <w:t>权利。</w:t>
      </w:r>
    </w:p>
    <w:p>
      <w:pPr>
        <w:spacing w:line="560" w:lineRule="exact"/>
        <w:ind w:firstLine="482" w:firstLineChars="200"/>
        <w:rPr>
          <w:rFonts w:ascii="仿宋" w:hAnsi="仿宋" w:eastAsia="仿宋" w:cs="宋体"/>
          <w:kern w:val="0"/>
          <w:sz w:val="28"/>
          <w:szCs w:val="28"/>
        </w:rPr>
      </w:pPr>
      <w:r>
        <w:rPr>
          <w:rFonts w:hint="eastAsia" w:ascii="楷体" w:hAnsi="楷体" w:eastAsia="楷体" w:cs="仿宋"/>
          <w:b/>
          <w:kern w:val="0"/>
          <w:sz w:val="24"/>
          <w:szCs w:val="24"/>
          <w:highlight w:val="none"/>
        </w:rPr>
        <w:t>甲方已采取加粗、加黑、突出显示等合理方式提请乙方注意本协议项下免除或限制其责任的条款，并按乙方要求对有关条款予以充分说明；乙方已阅读本协议所有条款，对本协议条款的含义及相应的法律后果已全部通晓并充分理解，同意遵守本协议条款。甲乙双方对本</w:t>
      </w:r>
      <w:bookmarkStart w:id="0" w:name="_GoBack"/>
      <w:bookmarkEnd w:id="0"/>
      <w:r>
        <w:rPr>
          <w:rFonts w:hint="eastAsia" w:ascii="楷体" w:hAnsi="楷体" w:eastAsia="楷体" w:cs="仿宋"/>
          <w:b/>
          <w:kern w:val="0"/>
          <w:sz w:val="24"/>
          <w:szCs w:val="24"/>
          <w:highlight w:val="none"/>
        </w:rPr>
        <w:t>协议所有条款内容的理解不存在异议。</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928604"/>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093"/>
    <w:multiLevelType w:val="singleLevel"/>
    <w:tmpl w:val="E972509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2YTE0ZTlmMDlkZDQxMDYwMGUzNDBkNDU3NjNiYWIifQ=="/>
  </w:docVars>
  <w:rsids>
    <w:rsidRoot w:val="00B96F95"/>
    <w:rsid w:val="0002003E"/>
    <w:rsid w:val="00026130"/>
    <w:rsid w:val="000261F8"/>
    <w:rsid w:val="00031F4E"/>
    <w:rsid w:val="00034037"/>
    <w:rsid w:val="00041798"/>
    <w:rsid w:val="000539D0"/>
    <w:rsid w:val="00056672"/>
    <w:rsid w:val="00057D30"/>
    <w:rsid w:val="00066435"/>
    <w:rsid w:val="00081558"/>
    <w:rsid w:val="00091FB5"/>
    <w:rsid w:val="00095E9B"/>
    <w:rsid w:val="000B0270"/>
    <w:rsid w:val="000B7444"/>
    <w:rsid w:val="000C01D1"/>
    <w:rsid w:val="000C63D0"/>
    <w:rsid w:val="000D4CBC"/>
    <w:rsid w:val="000E5600"/>
    <w:rsid w:val="00102B93"/>
    <w:rsid w:val="00111BEE"/>
    <w:rsid w:val="0011367D"/>
    <w:rsid w:val="00116AC4"/>
    <w:rsid w:val="00116B37"/>
    <w:rsid w:val="00134406"/>
    <w:rsid w:val="00144D48"/>
    <w:rsid w:val="00145B47"/>
    <w:rsid w:val="00146913"/>
    <w:rsid w:val="00147F56"/>
    <w:rsid w:val="0015334C"/>
    <w:rsid w:val="00153D04"/>
    <w:rsid w:val="001626D2"/>
    <w:rsid w:val="0016747F"/>
    <w:rsid w:val="00175C85"/>
    <w:rsid w:val="00183025"/>
    <w:rsid w:val="001830DB"/>
    <w:rsid w:val="00193238"/>
    <w:rsid w:val="00194558"/>
    <w:rsid w:val="001C68C9"/>
    <w:rsid w:val="001E2670"/>
    <w:rsid w:val="00203C39"/>
    <w:rsid w:val="002046FD"/>
    <w:rsid w:val="00211425"/>
    <w:rsid w:val="002176A8"/>
    <w:rsid w:val="00233EB9"/>
    <w:rsid w:val="00236803"/>
    <w:rsid w:val="00237C48"/>
    <w:rsid w:val="0024613B"/>
    <w:rsid w:val="00247DA7"/>
    <w:rsid w:val="002627A1"/>
    <w:rsid w:val="0026415B"/>
    <w:rsid w:val="00267AC0"/>
    <w:rsid w:val="00272C2E"/>
    <w:rsid w:val="0028414D"/>
    <w:rsid w:val="00284850"/>
    <w:rsid w:val="00285E25"/>
    <w:rsid w:val="002A1B77"/>
    <w:rsid w:val="002A42B0"/>
    <w:rsid w:val="002A457D"/>
    <w:rsid w:val="002A46F3"/>
    <w:rsid w:val="002C3EC3"/>
    <w:rsid w:val="002C79A6"/>
    <w:rsid w:val="002D21C7"/>
    <w:rsid w:val="002D21D1"/>
    <w:rsid w:val="002D708C"/>
    <w:rsid w:val="002F11F1"/>
    <w:rsid w:val="00303808"/>
    <w:rsid w:val="00311E6F"/>
    <w:rsid w:val="00312BEE"/>
    <w:rsid w:val="00330A42"/>
    <w:rsid w:val="0033487A"/>
    <w:rsid w:val="00354E59"/>
    <w:rsid w:val="0035656A"/>
    <w:rsid w:val="00362AF0"/>
    <w:rsid w:val="00395FEE"/>
    <w:rsid w:val="003A16E4"/>
    <w:rsid w:val="003B1D1B"/>
    <w:rsid w:val="003C2FA7"/>
    <w:rsid w:val="003D28ED"/>
    <w:rsid w:val="003D2C3A"/>
    <w:rsid w:val="003E37A6"/>
    <w:rsid w:val="003F0F51"/>
    <w:rsid w:val="00403D5D"/>
    <w:rsid w:val="00425FDD"/>
    <w:rsid w:val="00440A27"/>
    <w:rsid w:val="00442DDF"/>
    <w:rsid w:val="00444CAD"/>
    <w:rsid w:val="00465DB9"/>
    <w:rsid w:val="004661DC"/>
    <w:rsid w:val="004662BB"/>
    <w:rsid w:val="0047454A"/>
    <w:rsid w:val="00477CF2"/>
    <w:rsid w:val="00482BD4"/>
    <w:rsid w:val="00483230"/>
    <w:rsid w:val="00483C36"/>
    <w:rsid w:val="004978AB"/>
    <w:rsid w:val="004A0487"/>
    <w:rsid w:val="004A4BEC"/>
    <w:rsid w:val="004B6626"/>
    <w:rsid w:val="004C2705"/>
    <w:rsid w:val="004C2EE3"/>
    <w:rsid w:val="004E4F1B"/>
    <w:rsid w:val="004F0DA7"/>
    <w:rsid w:val="004F0FFB"/>
    <w:rsid w:val="004F3437"/>
    <w:rsid w:val="005237D4"/>
    <w:rsid w:val="00531C6D"/>
    <w:rsid w:val="00532393"/>
    <w:rsid w:val="00555036"/>
    <w:rsid w:val="00564161"/>
    <w:rsid w:val="00576929"/>
    <w:rsid w:val="0058020E"/>
    <w:rsid w:val="005901C8"/>
    <w:rsid w:val="0059341A"/>
    <w:rsid w:val="005B1E12"/>
    <w:rsid w:val="005E00E6"/>
    <w:rsid w:val="00620565"/>
    <w:rsid w:val="00622D6A"/>
    <w:rsid w:val="006349DC"/>
    <w:rsid w:val="0064136E"/>
    <w:rsid w:val="00657F7B"/>
    <w:rsid w:val="00664796"/>
    <w:rsid w:val="00671001"/>
    <w:rsid w:val="006732AC"/>
    <w:rsid w:val="00677C9F"/>
    <w:rsid w:val="006A0947"/>
    <w:rsid w:val="006C36DC"/>
    <w:rsid w:val="006C7CC2"/>
    <w:rsid w:val="006D2175"/>
    <w:rsid w:val="006D7EFF"/>
    <w:rsid w:val="006E7366"/>
    <w:rsid w:val="006F4E54"/>
    <w:rsid w:val="006F5D92"/>
    <w:rsid w:val="00700E25"/>
    <w:rsid w:val="00707141"/>
    <w:rsid w:val="007136E4"/>
    <w:rsid w:val="007257A3"/>
    <w:rsid w:val="007311FD"/>
    <w:rsid w:val="007374FC"/>
    <w:rsid w:val="00753399"/>
    <w:rsid w:val="007628E2"/>
    <w:rsid w:val="00762988"/>
    <w:rsid w:val="007639D6"/>
    <w:rsid w:val="00766D5A"/>
    <w:rsid w:val="0077452C"/>
    <w:rsid w:val="007772AD"/>
    <w:rsid w:val="00787195"/>
    <w:rsid w:val="007A268B"/>
    <w:rsid w:val="007A6525"/>
    <w:rsid w:val="008073E6"/>
    <w:rsid w:val="00813396"/>
    <w:rsid w:val="00813B87"/>
    <w:rsid w:val="00820E7C"/>
    <w:rsid w:val="008211EE"/>
    <w:rsid w:val="00833899"/>
    <w:rsid w:val="0085724E"/>
    <w:rsid w:val="00865ACD"/>
    <w:rsid w:val="00883E21"/>
    <w:rsid w:val="008907E6"/>
    <w:rsid w:val="008A2DB7"/>
    <w:rsid w:val="008B4C35"/>
    <w:rsid w:val="008D5A5C"/>
    <w:rsid w:val="008D6382"/>
    <w:rsid w:val="008E786E"/>
    <w:rsid w:val="008F037C"/>
    <w:rsid w:val="008F3C90"/>
    <w:rsid w:val="008F696F"/>
    <w:rsid w:val="00911535"/>
    <w:rsid w:val="009165DA"/>
    <w:rsid w:val="00917C33"/>
    <w:rsid w:val="00947EA2"/>
    <w:rsid w:val="009834F8"/>
    <w:rsid w:val="009902D4"/>
    <w:rsid w:val="0099075C"/>
    <w:rsid w:val="009A7140"/>
    <w:rsid w:val="009E0044"/>
    <w:rsid w:val="009E497E"/>
    <w:rsid w:val="009F27C2"/>
    <w:rsid w:val="00A26683"/>
    <w:rsid w:val="00A411C1"/>
    <w:rsid w:val="00A42B27"/>
    <w:rsid w:val="00A6235C"/>
    <w:rsid w:val="00A71982"/>
    <w:rsid w:val="00A7396E"/>
    <w:rsid w:val="00AA6ABD"/>
    <w:rsid w:val="00AB2233"/>
    <w:rsid w:val="00AB226F"/>
    <w:rsid w:val="00AD2A75"/>
    <w:rsid w:val="00AE0A05"/>
    <w:rsid w:val="00AE0ED0"/>
    <w:rsid w:val="00AF2255"/>
    <w:rsid w:val="00B05854"/>
    <w:rsid w:val="00B12C1A"/>
    <w:rsid w:val="00B30BC3"/>
    <w:rsid w:val="00B35045"/>
    <w:rsid w:val="00B406D8"/>
    <w:rsid w:val="00B666CC"/>
    <w:rsid w:val="00B6672D"/>
    <w:rsid w:val="00B7016E"/>
    <w:rsid w:val="00B72E57"/>
    <w:rsid w:val="00B75C0B"/>
    <w:rsid w:val="00B92D88"/>
    <w:rsid w:val="00B9658C"/>
    <w:rsid w:val="00B96F95"/>
    <w:rsid w:val="00BB34AA"/>
    <w:rsid w:val="00BB686F"/>
    <w:rsid w:val="00BC60E9"/>
    <w:rsid w:val="00BD6491"/>
    <w:rsid w:val="00BD78EF"/>
    <w:rsid w:val="00BE3047"/>
    <w:rsid w:val="00BE39AD"/>
    <w:rsid w:val="00BF0E6D"/>
    <w:rsid w:val="00BF2161"/>
    <w:rsid w:val="00C008E8"/>
    <w:rsid w:val="00C01D22"/>
    <w:rsid w:val="00C058B9"/>
    <w:rsid w:val="00C23F58"/>
    <w:rsid w:val="00C46487"/>
    <w:rsid w:val="00C53254"/>
    <w:rsid w:val="00C65E5D"/>
    <w:rsid w:val="00C7413C"/>
    <w:rsid w:val="00C75C5B"/>
    <w:rsid w:val="00C90211"/>
    <w:rsid w:val="00C93EC3"/>
    <w:rsid w:val="00CA2369"/>
    <w:rsid w:val="00CA5E5F"/>
    <w:rsid w:val="00CA7192"/>
    <w:rsid w:val="00CB1960"/>
    <w:rsid w:val="00CC7201"/>
    <w:rsid w:val="00CE4E37"/>
    <w:rsid w:val="00CE5056"/>
    <w:rsid w:val="00CF2F90"/>
    <w:rsid w:val="00D01D5C"/>
    <w:rsid w:val="00D03B9E"/>
    <w:rsid w:val="00D071AD"/>
    <w:rsid w:val="00D072C6"/>
    <w:rsid w:val="00D27F7E"/>
    <w:rsid w:val="00D30C2E"/>
    <w:rsid w:val="00D32CD5"/>
    <w:rsid w:val="00D3341D"/>
    <w:rsid w:val="00D3637C"/>
    <w:rsid w:val="00D519B7"/>
    <w:rsid w:val="00D53B7A"/>
    <w:rsid w:val="00D60210"/>
    <w:rsid w:val="00D84A46"/>
    <w:rsid w:val="00D8607F"/>
    <w:rsid w:val="00D975B5"/>
    <w:rsid w:val="00DA7094"/>
    <w:rsid w:val="00DD2BF5"/>
    <w:rsid w:val="00DD78F3"/>
    <w:rsid w:val="00DE58CA"/>
    <w:rsid w:val="00E144A6"/>
    <w:rsid w:val="00E156E9"/>
    <w:rsid w:val="00E23D51"/>
    <w:rsid w:val="00E62EC9"/>
    <w:rsid w:val="00E649D2"/>
    <w:rsid w:val="00E65EB0"/>
    <w:rsid w:val="00E67B09"/>
    <w:rsid w:val="00E736FC"/>
    <w:rsid w:val="00E77037"/>
    <w:rsid w:val="00E83D38"/>
    <w:rsid w:val="00E97F92"/>
    <w:rsid w:val="00EB0801"/>
    <w:rsid w:val="00EB2E00"/>
    <w:rsid w:val="00EC1B97"/>
    <w:rsid w:val="00ED14A1"/>
    <w:rsid w:val="00ED576D"/>
    <w:rsid w:val="00ED5BF1"/>
    <w:rsid w:val="00EF24F2"/>
    <w:rsid w:val="00EF2D17"/>
    <w:rsid w:val="00EF5ED1"/>
    <w:rsid w:val="00EF65AA"/>
    <w:rsid w:val="00F26BE6"/>
    <w:rsid w:val="00F37D37"/>
    <w:rsid w:val="00F435B1"/>
    <w:rsid w:val="00F46F0E"/>
    <w:rsid w:val="00F46FBC"/>
    <w:rsid w:val="00F60478"/>
    <w:rsid w:val="00F62B84"/>
    <w:rsid w:val="00F900D5"/>
    <w:rsid w:val="00F9136B"/>
    <w:rsid w:val="00F91E7A"/>
    <w:rsid w:val="00F97228"/>
    <w:rsid w:val="00FA0867"/>
    <w:rsid w:val="00FC7664"/>
    <w:rsid w:val="00FD133E"/>
    <w:rsid w:val="00FD2583"/>
    <w:rsid w:val="00FE157D"/>
    <w:rsid w:val="00FF6D54"/>
    <w:rsid w:val="01AD7668"/>
    <w:rsid w:val="01CC2E2B"/>
    <w:rsid w:val="01FD5C9B"/>
    <w:rsid w:val="0304136D"/>
    <w:rsid w:val="045C4216"/>
    <w:rsid w:val="049348D3"/>
    <w:rsid w:val="04F91B30"/>
    <w:rsid w:val="05226A80"/>
    <w:rsid w:val="05274545"/>
    <w:rsid w:val="059F4928"/>
    <w:rsid w:val="05F857AB"/>
    <w:rsid w:val="060370C5"/>
    <w:rsid w:val="065E29EC"/>
    <w:rsid w:val="06C63730"/>
    <w:rsid w:val="074430B8"/>
    <w:rsid w:val="07F63C46"/>
    <w:rsid w:val="08435911"/>
    <w:rsid w:val="084F7E3B"/>
    <w:rsid w:val="09043CB6"/>
    <w:rsid w:val="0967657D"/>
    <w:rsid w:val="09750FBB"/>
    <w:rsid w:val="099B0406"/>
    <w:rsid w:val="099F3A99"/>
    <w:rsid w:val="09BA7227"/>
    <w:rsid w:val="0AA25A34"/>
    <w:rsid w:val="0CEE3987"/>
    <w:rsid w:val="0D1D6721"/>
    <w:rsid w:val="0EAA73D3"/>
    <w:rsid w:val="0FBB5015"/>
    <w:rsid w:val="1106097C"/>
    <w:rsid w:val="11432321"/>
    <w:rsid w:val="12335DE6"/>
    <w:rsid w:val="13A216D2"/>
    <w:rsid w:val="15361498"/>
    <w:rsid w:val="15397425"/>
    <w:rsid w:val="15A205BC"/>
    <w:rsid w:val="15FE0488"/>
    <w:rsid w:val="165D662C"/>
    <w:rsid w:val="16775FC6"/>
    <w:rsid w:val="16D17077"/>
    <w:rsid w:val="172955F3"/>
    <w:rsid w:val="17750CF0"/>
    <w:rsid w:val="182E321B"/>
    <w:rsid w:val="184A4BA5"/>
    <w:rsid w:val="18884AFF"/>
    <w:rsid w:val="19185470"/>
    <w:rsid w:val="191A765E"/>
    <w:rsid w:val="198D3D53"/>
    <w:rsid w:val="1BDE459C"/>
    <w:rsid w:val="1C360324"/>
    <w:rsid w:val="1D663D3F"/>
    <w:rsid w:val="1FB328E4"/>
    <w:rsid w:val="200D7D67"/>
    <w:rsid w:val="203456FC"/>
    <w:rsid w:val="204B0952"/>
    <w:rsid w:val="21613E57"/>
    <w:rsid w:val="21740A61"/>
    <w:rsid w:val="22B83BEE"/>
    <w:rsid w:val="24482D50"/>
    <w:rsid w:val="24526F1A"/>
    <w:rsid w:val="263A1359"/>
    <w:rsid w:val="268C1A22"/>
    <w:rsid w:val="27966837"/>
    <w:rsid w:val="27FB590D"/>
    <w:rsid w:val="283A32F8"/>
    <w:rsid w:val="28CA6A2C"/>
    <w:rsid w:val="2A0C6577"/>
    <w:rsid w:val="2AC14A19"/>
    <w:rsid w:val="2B193698"/>
    <w:rsid w:val="2B8420BE"/>
    <w:rsid w:val="2BC86FB2"/>
    <w:rsid w:val="2C1144F0"/>
    <w:rsid w:val="2C581FB4"/>
    <w:rsid w:val="2C8726E5"/>
    <w:rsid w:val="2E723F4B"/>
    <w:rsid w:val="2F773F70"/>
    <w:rsid w:val="2F9437C7"/>
    <w:rsid w:val="2FC71915"/>
    <w:rsid w:val="304177EC"/>
    <w:rsid w:val="322E5C7B"/>
    <w:rsid w:val="33575D79"/>
    <w:rsid w:val="33C137F8"/>
    <w:rsid w:val="34AF3702"/>
    <w:rsid w:val="34FA47FA"/>
    <w:rsid w:val="357A3838"/>
    <w:rsid w:val="35C920B8"/>
    <w:rsid w:val="35DD795A"/>
    <w:rsid w:val="371D78CB"/>
    <w:rsid w:val="375201D1"/>
    <w:rsid w:val="375A12C0"/>
    <w:rsid w:val="37A2730F"/>
    <w:rsid w:val="397225D3"/>
    <w:rsid w:val="3AAD6565"/>
    <w:rsid w:val="3AD15B2A"/>
    <w:rsid w:val="3C5D521F"/>
    <w:rsid w:val="3C73623A"/>
    <w:rsid w:val="420E49CF"/>
    <w:rsid w:val="42A366A8"/>
    <w:rsid w:val="42E73A32"/>
    <w:rsid w:val="42F63BEF"/>
    <w:rsid w:val="431C44AA"/>
    <w:rsid w:val="45403392"/>
    <w:rsid w:val="46144D30"/>
    <w:rsid w:val="461E6F6B"/>
    <w:rsid w:val="46BE7262"/>
    <w:rsid w:val="46F15924"/>
    <w:rsid w:val="4763732D"/>
    <w:rsid w:val="47CB6D0E"/>
    <w:rsid w:val="47EF40E0"/>
    <w:rsid w:val="48FF5069"/>
    <w:rsid w:val="49A570E7"/>
    <w:rsid w:val="4D716A59"/>
    <w:rsid w:val="4D717236"/>
    <w:rsid w:val="4DD442B1"/>
    <w:rsid w:val="4E3116CF"/>
    <w:rsid w:val="500408DA"/>
    <w:rsid w:val="504173A6"/>
    <w:rsid w:val="50B41F0C"/>
    <w:rsid w:val="51B3620E"/>
    <w:rsid w:val="51F779E0"/>
    <w:rsid w:val="52BE3DE6"/>
    <w:rsid w:val="53D12D0D"/>
    <w:rsid w:val="548860E2"/>
    <w:rsid w:val="54F769F5"/>
    <w:rsid w:val="55915B20"/>
    <w:rsid w:val="55BC1586"/>
    <w:rsid w:val="55E165F2"/>
    <w:rsid w:val="565823D0"/>
    <w:rsid w:val="56EB56F0"/>
    <w:rsid w:val="5735467C"/>
    <w:rsid w:val="59167102"/>
    <w:rsid w:val="59DE6FE2"/>
    <w:rsid w:val="59DF7887"/>
    <w:rsid w:val="5B2C65A4"/>
    <w:rsid w:val="5CAF088F"/>
    <w:rsid w:val="5D143E9D"/>
    <w:rsid w:val="5D657C97"/>
    <w:rsid w:val="5D8D6E33"/>
    <w:rsid w:val="5DB5274B"/>
    <w:rsid w:val="5DB744C7"/>
    <w:rsid w:val="5E2A3B8C"/>
    <w:rsid w:val="5FE5039E"/>
    <w:rsid w:val="6000742F"/>
    <w:rsid w:val="6165227D"/>
    <w:rsid w:val="638210D3"/>
    <w:rsid w:val="63BE6DCE"/>
    <w:rsid w:val="64953F2F"/>
    <w:rsid w:val="64B9020A"/>
    <w:rsid w:val="64C501A5"/>
    <w:rsid w:val="652512B1"/>
    <w:rsid w:val="65765FAA"/>
    <w:rsid w:val="661126BC"/>
    <w:rsid w:val="66750B38"/>
    <w:rsid w:val="67E17E3D"/>
    <w:rsid w:val="68090ADC"/>
    <w:rsid w:val="687C3649"/>
    <w:rsid w:val="68B62F93"/>
    <w:rsid w:val="692A0B12"/>
    <w:rsid w:val="6A1D3D82"/>
    <w:rsid w:val="6AB00B36"/>
    <w:rsid w:val="6ADF6E0B"/>
    <w:rsid w:val="6B0F0434"/>
    <w:rsid w:val="6B2B7C79"/>
    <w:rsid w:val="6B847481"/>
    <w:rsid w:val="6CEA3E2A"/>
    <w:rsid w:val="6D212765"/>
    <w:rsid w:val="6E532010"/>
    <w:rsid w:val="6E6F4ADC"/>
    <w:rsid w:val="6ECA1BC2"/>
    <w:rsid w:val="6F5C41B3"/>
    <w:rsid w:val="6FE14C7C"/>
    <w:rsid w:val="70031E03"/>
    <w:rsid w:val="70B051C9"/>
    <w:rsid w:val="714D244B"/>
    <w:rsid w:val="72473B32"/>
    <w:rsid w:val="72F17BDB"/>
    <w:rsid w:val="73343B25"/>
    <w:rsid w:val="73DE5EB2"/>
    <w:rsid w:val="74830213"/>
    <w:rsid w:val="776B7EA4"/>
    <w:rsid w:val="78615B82"/>
    <w:rsid w:val="78E218D3"/>
    <w:rsid w:val="79661CE6"/>
    <w:rsid w:val="7ADC7DC1"/>
    <w:rsid w:val="7DD5769A"/>
    <w:rsid w:val="7DE12031"/>
    <w:rsid w:val="7DFC0FD1"/>
    <w:rsid w:val="7E22211F"/>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0"/>
    <w:qFormat/>
    <w:uiPriority w:val="9"/>
    <w:pPr>
      <w:widowControl/>
      <w:spacing w:before="100" w:beforeAutospacing="1" w:after="100" w:afterAutospacing="1"/>
      <w:jc w:val="left"/>
      <w:outlineLvl w:val="1"/>
    </w:pPr>
    <w:rPr>
      <w:rFonts w:ascii="宋体" w:hAnsi="宋体" w:eastAsia="宋体" w:cs="宋体"/>
      <w:b/>
      <w:bCs/>
      <w:kern w:val="0"/>
      <w:sz w:val="24"/>
      <w:szCs w:val="24"/>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360" w:lineRule="auto"/>
      <w:ind w:left="359" w:leftChars="171" w:firstLine="600" w:firstLineChars="250"/>
    </w:pPr>
  </w:style>
  <w:style w:type="paragraph" w:styleId="7">
    <w:name w:val="Document Map"/>
    <w:basedOn w:val="1"/>
    <w:link w:val="28"/>
    <w:unhideWhenUsed/>
    <w:qFormat/>
    <w:uiPriority w:val="99"/>
    <w:rPr>
      <w:rFonts w:ascii="宋体" w:eastAsia="宋体"/>
      <w:sz w:val="18"/>
      <w:szCs w:val="18"/>
    </w:rPr>
  </w:style>
  <w:style w:type="paragraph" w:styleId="8">
    <w:name w:val="annotation text"/>
    <w:basedOn w:val="1"/>
    <w:link w:val="32"/>
    <w:unhideWhenUsed/>
    <w:qFormat/>
    <w:uiPriority w:val="0"/>
    <w:pPr>
      <w:jc w:val="left"/>
    </w:pPr>
  </w:style>
  <w:style w:type="paragraph" w:styleId="9">
    <w:name w:val="Body Text"/>
    <w:basedOn w:val="1"/>
    <w:qFormat/>
    <w:uiPriority w:val="0"/>
    <w:pPr>
      <w:adjustRightInd w:val="0"/>
      <w:snapToGrid w:val="0"/>
      <w:jc w:val="center"/>
    </w:pPr>
    <w:rPr>
      <w:rFonts w:ascii="黑体" w:eastAsia="黑体"/>
      <w:b/>
      <w:sz w:val="52"/>
      <w:szCs w:val="36"/>
    </w:rPr>
  </w:style>
  <w:style w:type="paragraph" w:styleId="10">
    <w:name w:val="Balloon Text"/>
    <w:basedOn w:val="1"/>
    <w:link w:val="31"/>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8"/>
    <w:next w:val="8"/>
    <w:link w:val="33"/>
    <w:unhideWhenUsed/>
    <w:qFormat/>
    <w:uiPriority w:val="99"/>
    <w:rPr>
      <w:b/>
      <w:bCs/>
    </w:rPr>
  </w:style>
  <w:style w:type="character" w:styleId="17">
    <w:name w:val="Strong"/>
    <w:basedOn w:val="16"/>
    <w:qFormat/>
    <w:uiPriority w:val="22"/>
    <w:rPr>
      <w:b/>
      <w:bCs/>
    </w:rPr>
  </w:style>
  <w:style w:type="character" w:styleId="18">
    <w:name w:val="Hyperlink"/>
    <w:basedOn w:val="16"/>
    <w:unhideWhenUsed/>
    <w:qFormat/>
    <w:uiPriority w:val="99"/>
    <w:rPr>
      <w:color w:val="336699"/>
      <w:u w:val="single"/>
    </w:rPr>
  </w:style>
  <w:style w:type="character" w:styleId="19">
    <w:name w:val="annotation reference"/>
    <w:basedOn w:val="16"/>
    <w:unhideWhenUsed/>
    <w:qFormat/>
    <w:uiPriority w:val="0"/>
    <w:rPr>
      <w:sz w:val="21"/>
      <w:szCs w:val="21"/>
    </w:rPr>
  </w:style>
  <w:style w:type="character" w:customStyle="1" w:styleId="20">
    <w:name w:val="标题 2 Char"/>
    <w:basedOn w:val="16"/>
    <w:link w:val="4"/>
    <w:qFormat/>
    <w:uiPriority w:val="9"/>
    <w:rPr>
      <w:rFonts w:ascii="宋体" w:hAnsi="宋体" w:eastAsia="宋体" w:cs="宋体"/>
      <w:b/>
      <w:bCs/>
      <w:kern w:val="0"/>
      <w:sz w:val="24"/>
      <w:szCs w:val="24"/>
    </w:rPr>
  </w:style>
  <w:style w:type="character" w:customStyle="1" w:styleId="21">
    <w:name w:val="标题 3 Char"/>
    <w:basedOn w:val="16"/>
    <w:link w:val="5"/>
    <w:semiHidden/>
    <w:qFormat/>
    <w:uiPriority w:val="9"/>
    <w:rPr>
      <w:b/>
      <w:bCs/>
      <w:sz w:val="32"/>
      <w:szCs w:val="32"/>
    </w:rPr>
  </w:style>
  <w:style w:type="character" w:customStyle="1" w:styleId="22">
    <w:name w:val="标题 4 Char"/>
    <w:basedOn w:val="16"/>
    <w:link w:val="6"/>
    <w:semiHidden/>
    <w:qFormat/>
    <w:uiPriority w:val="9"/>
    <w:rPr>
      <w:rFonts w:asciiTheme="majorHAnsi" w:hAnsiTheme="majorHAnsi" w:eastAsiaTheme="majorEastAsia" w:cstheme="majorBidi"/>
      <w:b/>
      <w:bCs/>
      <w:sz w:val="28"/>
      <w:szCs w:val="28"/>
    </w:rPr>
  </w:style>
  <w:style w:type="paragraph" w:customStyle="1" w:styleId="23">
    <w:name w:val="bold1"/>
    <w:basedOn w:val="1"/>
    <w:qFormat/>
    <w:uiPriority w:val="0"/>
    <w:pPr>
      <w:widowControl/>
      <w:spacing w:before="150" w:after="150"/>
      <w:jc w:val="left"/>
    </w:pPr>
    <w:rPr>
      <w:rFonts w:ascii="宋体" w:hAnsi="宋体" w:eastAsia="宋体" w:cs="宋体"/>
      <w:b/>
      <w:bCs/>
      <w:kern w:val="0"/>
      <w:sz w:val="24"/>
      <w:szCs w:val="24"/>
    </w:rPr>
  </w:style>
  <w:style w:type="paragraph" w:customStyle="1" w:styleId="24">
    <w:name w:val="strong-underline1"/>
    <w:basedOn w:val="1"/>
    <w:qFormat/>
    <w:uiPriority w:val="0"/>
    <w:pPr>
      <w:widowControl/>
      <w:spacing w:before="45" w:after="100" w:afterAutospacing="1" w:line="480" w:lineRule="auto"/>
      <w:jc w:val="left"/>
    </w:pPr>
    <w:rPr>
      <w:rFonts w:ascii="宋体" w:hAnsi="宋体" w:eastAsia="宋体" w:cs="宋体"/>
      <w:b/>
      <w:bCs/>
      <w:kern w:val="0"/>
      <w:sz w:val="24"/>
      <w:szCs w:val="24"/>
      <w:u w:val="single"/>
    </w:rPr>
  </w:style>
  <w:style w:type="character" w:customStyle="1" w:styleId="25">
    <w:name w:val="strong-underline2"/>
    <w:basedOn w:val="16"/>
    <w:qFormat/>
    <w:uiPriority w:val="0"/>
    <w:rPr>
      <w:b/>
      <w:bCs/>
      <w:u w:val="single"/>
    </w:rPr>
  </w:style>
  <w:style w:type="paragraph" w:customStyle="1" w:styleId="26">
    <w:name w:val="declare1"/>
    <w:basedOn w:val="1"/>
    <w:qFormat/>
    <w:uiPriority w:val="0"/>
    <w:pPr>
      <w:widowControl/>
      <w:spacing w:before="45" w:after="100" w:afterAutospacing="1" w:line="480" w:lineRule="auto"/>
      <w:ind w:firstLine="480"/>
      <w:jc w:val="left"/>
    </w:pPr>
    <w:rPr>
      <w:rFonts w:ascii="宋体" w:hAnsi="宋体" w:eastAsia="宋体" w:cs="宋体"/>
      <w:b/>
      <w:bCs/>
      <w:kern w:val="0"/>
      <w:sz w:val="24"/>
      <w:szCs w:val="24"/>
    </w:rPr>
  </w:style>
  <w:style w:type="paragraph" w:customStyle="1" w:styleId="27">
    <w:name w:val="列出段落1"/>
    <w:basedOn w:val="1"/>
    <w:qFormat/>
    <w:uiPriority w:val="34"/>
    <w:pPr>
      <w:ind w:firstLine="420" w:firstLineChars="200"/>
    </w:pPr>
  </w:style>
  <w:style w:type="character" w:customStyle="1" w:styleId="28">
    <w:name w:val="文档结构图 Char"/>
    <w:basedOn w:val="16"/>
    <w:link w:val="7"/>
    <w:semiHidden/>
    <w:qFormat/>
    <w:uiPriority w:val="99"/>
    <w:rPr>
      <w:rFonts w:ascii="宋体" w:eastAsia="宋体"/>
      <w:sz w:val="18"/>
      <w:szCs w:val="18"/>
    </w:rPr>
  </w:style>
  <w:style w:type="character" w:customStyle="1" w:styleId="29">
    <w:name w:val="页眉 Char"/>
    <w:basedOn w:val="16"/>
    <w:link w:val="12"/>
    <w:qFormat/>
    <w:uiPriority w:val="99"/>
    <w:rPr>
      <w:sz w:val="18"/>
      <w:szCs w:val="18"/>
    </w:rPr>
  </w:style>
  <w:style w:type="character" w:customStyle="1" w:styleId="30">
    <w:name w:val="页脚 Char"/>
    <w:basedOn w:val="16"/>
    <w:link w:val="11"/>
    <w:qFormat/>
    <w:uiPriority w:val="99"/>
    <w:rPr>
      <w:sz w:val="18"/>
      <w:szCs w:val="18"/>
    </w:rPr>
  </w:style>
  <w:style w:type="character" w:customStyle="1" w:styleId="31">
    <w:name w:val="批注框文本 Char"/>
    <w:basedOn w:val="16"/>
    <w:link w:val="10"/>
    <w:semiHidden/>
    <w:qFormat/>
    <w:uiPriority w:val="99"/>
    <w:rPr>
      <w:sz w:val="18"/>
      <w:szCs w:val="18"/>
    </w:rPr>
  </w:style>
  <w:style w:type="character" w:customStyle="1" w:styleId="32">
    <w:name w:val="批注文字 Char"/>
    <w:basedOn w:val="16"/>
    <w:link w:val="8"/>
    <w:qFormat/>
    <w:uiPriority w:val="0"/>
  </w:style>
  <w:style w:type="character" w:customStyle="1" w:styleId="33">
    <w:name w:val="批注主题 Char"/>
    <w:basedOn w:val="32"/>
    <w:link w:val="14"/>
    <w:semiHidden/>
    <w:qFormat/>
    <w:uiPriority w:val="99"/>
    <w:rPr>
      <w:b/>
      <w:bCs/>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列出段落11"/>
    <w:basedOn w:val="1"/>
    <w:qFormat/>
    <w:uiPriority w:val="34"/>
    <w:pPr>
      <w:ind w:firstLine="420" w:firstLineChars="200"/>
    </w:pPr>
    <w:rPr>
      <w:rFonts w:ascii="黑体" w:hAnsi="黑体" w:eastAsia="黑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1016</Words>
  <Characters>5792</Characters>
  <Lines>48</Lines>
  <Paragraphs>13</Paragraphs>
  <TotalTime>7</TotalTime>
  <ScaleCrop>false</ScaleCrop>
  <LinksUpToDate>false</LinksUpToDate>
  <CharactersWithSpaces>6795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2020-12-16T03:19:00Z</dcterms:created>
  <dc:creator>HX</dc:creator>
  <cp:lastModifiedBy>帅义刚</cp:lastModifiedBy>
  <cp:lastPrinted>2018-08-14T00:54:00Z</cp:lastPrinted>
  <dcterms:modified xsi:type="dcterms:W3CDTF">2025-01-14T02:12:20Z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022668481E2748C7901BDE1FC5751EC8</vt:lpwstr>
  </property>
</Properties>
</file>