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sz w:val="72"/>
          <w:szCs w:val="144"/>
          <w:lang w:val="en-US" w:eastAsia="zh-CN"/>
        </w:rPr>
      </w:pPr>
      <w:r>
        <w:rPr>
          <w:rFonts w:hint="eastAsia"/>
          <w:sz w:val="72"/>
          <w:szCs w:val="144"/>
          <w:lang w:val="en-US" w:eastAsia="zh-CN"/>
        </w:rPr>
        <w:t>网络安全漏洞评估报告</w:t>
      </w:r>
    </w:p>
    <w:p>
      <w:pPr>
        <w:bidi w:val="0"/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bidi w:val="0"/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bidi w:val="0"/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bidi w:val="0"/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bidi w:val="0"/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bidi w:val="0"/>
        <w:jc w:val="center"/>
        <w:rPr>
          <w:rFonts w:hint="eastAsia"/>
          <w:sz w:val="72"/>
          <w:szCs w:val="144"/>
          <w:lang w:val="en-US" w:eastAsia="zh-CN"/>
        </w:rPr>
      </w:pPr>
    </w:p>
    <w:p>
      <w:pPr>
        <w:bidi w:val="0"/>
        <w:jc w:val="center"/>
        <w:rPr>
          <w:rFonts w:hint="eastAsia"/>
          <w:sz w:val="72"/>
          <w:szCs w:val="144"/>
          <w:lang w:val="en-US" w:eastAsia="zh-CN"/>
        </w:rPr>
      </w:pPr>
      <w:r>
        <w:rPr>
          <w:rFonts w:hint="eastAsia"/>
          <w:sz w:val="72"/>
          <w:szCs w:val="144"/>
          <w:lang w:val="en-US" w:eastAsia="zh-CN"/>
        </w:rPr>
        <w:drawing>
          <wp:inline distT="0" distB="0" distL="114300" distR="114300">
            <wp:extent cx="1621155" cy="414020"/>
            <wp:effectExtent l="0" t="0" r="9525" b="12700"/>
            <wp:docPr id="1" name="图片 1" descr="d3fcb1d0858940178e71f38d0bace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fcb1d0858940178e71f38d0bace9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default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32"/>
          <w:lang w:val="en-US" w:eastAsia="zh-CN"/>
        </w:rPr>
        <w:t>2023年6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月</w:t>
      </w:r>
    </w:p>
    <w:p>
      <w:pPr>
        <w:pStyle w:val="2"/>
        <w:bidi w:val="0"/>
        <w:rPr>
          <w:rFonts w:hint="eastAsia"/>
          <w:sz w:val="32"/>
          <w:szCs w:val="20"/>
        </w:rPr>
      </w:pPr>
      <w:r>
        <w:rPr>
          <w:rFonts w:hint="eastAsia"/>
          <w:sz w:val="32"/>
          <w:szCs w:val="20"/>
        </w:rPr>
        <w:t>1.目的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基于风险管理准则对</w:t>
      </w:r>
      <w:r>
        <w:rPr>
          <w:rFonts w:hint="eastAsia"/>
          <w:sz w:val="24"/>
          <w:szCs w:val="32"/>
          <w:lang w:val="en-US" w:eastAsia="zh-CN"/>
        </w:rPr>
        <w:t>滚财保</w:t>
      </w:r>
      <w:r>
        <w:rPr>
          <w:rFonts w:hint="eastAsia"/>
          <w:sz w:val="24"/>
          <w:szCs w:val="32"/>
        </w:rPr>
        <w:t>网络安全漏洞进行分析和控制，保证产品综合剩余风险均处于可接受水平。</w:t>
      </w:r>
    </w:p>
    <w:p>
      <w:pPr>
        <w:pStyle w:val="2"/>
        <w:bidi w:val="0"/>
        <w:rPr>
          <w:rFonts w:hint="eastAsia"/>
          <w:sz w:val="32"/>
          <w:szCs w:val="20"/>
        </w:rPr>
      </w:pPr>
      <w:r>
        <w:rPr>
          <w:rFonts w:hint="eastAsia"/>
          <w:sz w:val="32"/>
          <w:szCs w:val="20"/>
        </w:rPr>
        <w:t>2.漏洞扫描基本信息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漏洞扫描工具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申报产品漏洞评估采用的漏洞扫描工具如下表2-1漏洞扫描工具。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表2-1漏洞扫描工具</w:t>
      </w:r>
    </w:p>
    <w:tbl>
      <w:tblPr>
        <w:tblStyle w:val="6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6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5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扫描工具</w:t>
            </w:r>
          </w:p>
        </w:tc>
        <w:tc>
          <w:tcPr>
            <w:tcW w:w="6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基本功能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Acunetix</w:t>
            </w:r>
          </w:p>
        </w:tc>
        <w:tc>
          <w:tcPr>
            <w:tcW w:w="6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自动化的Web应用程序安全测试工具，通过检查 SQL 注入，跨站点脚本(XSS)和其他可利用漏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洞</w:t>
            </w:r>
            <w:r>
              <w:rPr>
                <w:rFonts w:hint="eastAsia"/>
                <w:sz w:val="24"/>
                <w:szCs w:val="32"/>
                <w:vertAlign w:val="baseline"/>
              </w:rPr>
              <w:t>等来审核 Web 应用程序。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6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24"/>
          <w:szCs w:val="32"/>
        </w:rPr>
      </w:pPr>
    </w:p>
    <w:p>
      <w:pPr>
        <w:pStyle w:val="2"/>
        <w:bidi w:val="0"/>
        <w:rPr>
          <w:rFonts w:hint="default"/>
          <w:sz w:val="32"/>
          <w:szCs w:val="20"/>
          <w:lang w:val="en-US" w:eastAsia="zh-CN"/>
        </w:rPr>
      </w:pPr>
      <w:r>
        <w:rPr>
          <w:rFonts w:hint="default"/>
          <w:sz w:val="32"/>
          <w:szCs w:val="20"/>
          <w:lang w:val="en-US" w:eastAsia="zh-CN"/>
        </w:rPr>
        <w:t>3.漏洞扫描过程综述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本公司基于表2-2漏洞数据库，通过漏洞扫描工具对</w:t>
      </w:r>
      <w:r>
        <w:rPr>
          <w:rFonts w:hint="eastAsia"/>
          <w:sz w:val="24"/>
          <w:szCs w:val="32"/>
          <w:lang w:val="en-US" w:eastAsia="zh-CN"/>
        </w:rPr>
        <w:t>滚财保</w:t>
      </w:r>
      <w:r>
        <w:rPr>
          <w:rFonts w:hint="default"/>
          <w:sz w:val="24"/>
          <w:szCs w:val="32"/>
          <w:lang w:val="en-US" w:eastAsia="zh-CN"/>
        </w:rPr>
        <w:t>系统的网络安全脆弱性进行检测。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sz w:val="32"/>
          <w:szCs w:val="20"/>
          <w:lang w:val="en-US" w:eastAsia="zh-CN"/>
        </w:rPr>
      </w:pPr>
      <w:r>
        <w:rPr>
          <w:rFonts w:hint="default"/>
          <w:sz w:val="32"/>
          <w:szCs w:val="20"/>
          <w:lang w:val="en-US" w:eastAsia="zh-CN"/>
        </w:rPr>
        <w:t>漏洞评估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漏扫报告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870960" cy="53340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962400" cy="2964180"/>
            <wp:effectExtent l="0" t="0" r="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061460" cy="2705100"/>
            <wp:effectExtent l="0" t="0" r="7620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3992880" cy="1013460"/>
            <wp:effectExtent l="0" t="0" r="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高危漏洞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漏洞编号：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漏洞名称：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漏洞危害：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解决方案：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中危漏洞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漏洞编号：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漏洞名称：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漏洞危害：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解决方案：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低危漏洞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漏洞编号：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低危漏洞-1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漏洞名称：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Clickjacking: X-Frame-Options header missing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漏洞危害：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网站可能面临点击劫持攻击的风险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解决方案：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将WEB服务配置为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X-Frame-Options标头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针对以上漏洞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通过</w:t>
      </w:r>
      <w:r>
        <w:rPr>
          <w:rFonts w:hint="eastAsia"/>
          <w:sz w:val="24"/>
          <w:szCs w:val="32"/>
          <w:vertAlign w:val="baseline"/>
          <w:lang w:val="en-US" w:eastAsia="zh-CN"/>
        </w:rPr>
        <w:t>将WEB服务配置为包含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X-Frame-Options标头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纠正/预防措施进行漏洞修复，修复后再次使用漏洞扫描工具进行漏洞扫描，结果如下: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表4-2漏洞修复后漏洞扫描结果</w:t>
      </w:r>
    </w:p>
    <w:tbl>
      <w:tblPr>
        <w:tblStyle w:val="6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376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漏洞编号</w:t>
            </w: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描述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漏洞等级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是否修复/解决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低危漏洞-1</w:t>
            </w:r>
          </w:p>
        </w:tc>
        <w:tc>
          <w:tcPr>
            <w:tcW w:w="23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Clickjacking: X-Frame-Options header missing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低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bidi w:val="0"/>
        <w:rPr>
          <w:rFonts w:hint="default"/>
          <w:sz w:val="32"/>
          <w:szCs w:val="20"/>
          <w:lang w:val="en-US" w:eastAsia="zh-CN"/>
        </w:rPr>
      </w:pPr>
      <w:r>
        <w:rPr>
          <w:rFonts w:hint="default"/>
          <w:sz w:val="32"/>
          <w:szCs w:val="20"/>
          <w:lang w:val="en-US" w:eastAsia="zh-CN"/>
        </w:rPr>
        <w:t>5漏洞总数及剩余漏洞统计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滚财保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系统扫描漏洞总数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1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个(见表4-1)，采取纠正/预防措施后，剩余漏洞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0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C89E6"/>
    <w:multiLevelType w:val="singleLevel"/>
    <w:tmpl w:val="D73C89E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jNhNzkyYjllMWIwZTAzMTQwMTAxNjdhZDM0ZDAifQ=="/>
  </w:docVars>
  <w:rsids>
    <w:rsidRoot w:val="4C9327FF"/>
    <w:rsid w:val="0D836384"/>
    <w:rsid w:val="1F415AE7"/>
    <w:rsid w:val="298641A6"/>
    <w:rsid w:val="2E6170A6"/>
    <w:rsid w:val="407814C5"/>
    <w:rsid w:val="4D300904"/>
    <w:rsid w:val="565E3590"/>
    <w:rsid w:val="7671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519</Words>
  <Characters>661</Characters>
  <Lines>0</Lines>
  <Paragraphs>0</Paragraphs>
  <TotalTime>8</TotalTime>
  <ScaleCrop>false</ScaleCrop>
  <LinksUpToDate>false</LinksUpToDate>
  <CharactersWithSpaces>673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2023-04-13T02:23:00Z</dcterms:created>
  <dc:creator>赵福来</dc:creator>
  <cp:lastModifiedBy>赵福来</cp:lastModifiedBy>
  <dcterms:modified xsi:type="dcterms:W3CDTF">2023-06-30T03:41:02Z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8EEF9A0EABAC410BBC871DFE559FB7E8_13</vt:lpwstr>
  </property>
</Properties>
</file>