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7" w:rightFromText="187" w:horzAnchor="margin" w:tblpXSpec="center" w:tblpY="2881"/>
        <w:tblW w:w="6829" w:type="dxa"/>
        <w:tblInd w:w="0" w:type="dxa"/>
        <w:tblBorders>
          <w:top w:val="none" w:color="auto" w:sz="0" w:space="0"/>
          <w:left w:val="single" w:color="4F81BD" w:sz="18"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29"/>
      </w:tblGrid>
      <w:tr>
        <w:tblPrEx>
          <w:tblBorders>
            <w:top w:val="none" w:color="auto" w:sz="0" w:space="0"/>
            <w:left w:val="single" w:color="4F81BD" w:sz="18"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29" w:type="dxa"/>
            <w:tcMar>
              <w:top w:w="216" w:type="dxa"/>
              <w:left w:w="115" w:type="dxa"/>
              <w:bottom w:w="216" w:type="dxa"/>
              <w:right w:w="115" w:type="dxa"/>
            </w:tcMar>
            <w:vAlign w:val="top"/>
          </w:tcPr>
          <w:p>
            <w:pPr>
              <w:pStyle w:val="12"/>
              <w:ind w:firstLine="0"/>
              <w:rPr>
                <w:rFonts w:ascii="Cambria" w:hAnsi="Cambria" w:eastAsia="宋体"/>
                <w:color w:val="auto"/>
                <w:highlight w:val="none"/>
              </w:rPr>
            </w:pPr>
          </w:p>
        </w:tc>
      </w:tr>
      <w:tr>
        <w:tblPrEx>
          <w:tblBorders>
            <w:top w:val="none" w:color="auto" w:sz="0" w:space="0"/>
            <w:left w:val="single" w:color="4F81BD" w:sz="18"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29" w:type="dxa"/>
            <w:tcMar>
              <w:top w:w="216" w:type="dxa"/>
              <w:left w:w="115" w:type="dxa"/>
              <w:bottom w:w="216" w:type="dxa"/>
              <w:right w:w="115" w:type="dxa"/>
            </w:tcMar>
            <w:vAlign w:val="top"/>
          </w:tcPr>
          <w:p>
            <w:pPr>
              <w:rPr>
                <w:color w:val="auto"/>
                <w:highlight w:val="none"/>
              </w:rPr>
            </w:pPr>
            <w:r>
              <w:rPr>
                <w:rFonts w:hint="eastAsia" w:ascii="黑体" w:hAnsi="Cambria" w:eastAsia="黑体"/>
                <w:b/>
                <w:color w:val="auto"/>
                <w:sz w:val="80"/>
                <w:szCs w:val="80"/>
                <w:highlight w:val="none"/>
                <w:lang w:val="en-US" w:eastAsia="zh-CN"/>
              </w:rPr>
              <w:t>统一19版</w:t>
            </w:r>
            <w:r>
              <w:rPr>
                <w:rFonts w:hint="eastAsia" w:ascii="黑体" w:hAnsi="Cambria" w:eastAsia="黑体"/>
                <w:b/>
                <w:color w:val="auto"/>
                <w:sz w:val="80"/>
                <w:szCs w:val="80"/>
                <w:highlight w:val="none"/>
              </w:rPr>
              <w:t>住院保综合险</w:t>
            </w:r>
            <w:r>
              <w:rPr>
                <w:rFonts w:hint="eastAsia" w:ascii="黑体" w:hAnsi="Cambria" w:eastAsia="黑体"/>
                <w:b/>
                <w:color w:val="auto"/>
                <w:sz w:val="80"/>
                <w:szCs w:val="80"/>
                <w:highlight w:val="none"/>
                <w:lang w:val="en-US" w:eastAsia="zh-CN"/>
              </w:rPr>
              <w:t>说明</w:t>
            </w:r>
          </w:p>
        </w:tc>
      </w:tr>
    </w:tbl>
    <w:p>
      <w:pPr>
        <w:rPr>
          <w:color w:val="auto"/>
          <w:highlight w:val="none"/>
        </w:rPr>
      </w:pPr>
    </w:p>
    <w:p>
      <w:pPr>
        <w:rPr>
          <w:color w:val="auto"/>
          <w:highlight w:val="none"/>
        </w:rPr>
      </w:pPr>
      <w:r>
        <w:rPr>
          <w:color w:val="auto"/>
          <w:highlight w:val="none"/>
        </w:rPr>
        <w:drawing>
          <wp:inline distT="0" distB="0" distL="114300" distR="114300">
            <wp:extent cx="2305050" cy="514350"/>
            <wp:effectExtent l="0" t="0" r="0" b="0"/>
            <wp:docPr id="1" name="图片 1" descr="泰康在线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泰康在线logo10"/>
                    <pic:cNvPicPr>
                      <a:picLocks noChangeAspect="1"/>
                    </pic:cNvPicPr>
                  </pic:nvPicPr>
                  <pic:blipFill>
                    <a:blip r:embed="rId4"/>
                    <a:stretch>
                      <a:fillRect/>
                    </a:stretch>
                  </pic:blipFill>
                  <pic:spPr>
                    <a:xfrm>
                      <a:off x="0" y="0"/>
                      <a:ext cx="2305050" cy="514350"/>
                    </a:xfrm>
                    <a:prstGeom prst="rect">
                      <a:avLst/>
                    </a:prstGeom>
                    <a:noFill/>
                    <a:ln w="9525">
                      <a:noFill/>
                    </a:ln>
                  </pic:spPr>
                </pic:pic>
              </a:graphicData>
            </a:graphic>
          </wp:inline>
        </w:drawing>
      </w:r>
    </w:p>
    <w:p>
      <w:pPr>
        <w:rPr>
          <w:color w:val="auto"/>
          <w:highlight w:val="none"/>
        </w:rPr>
      </w:pPr>
    </w:p>
    <w:p>
      <w:pPr>
        <w:rPr>
          <w:rFonts w:hint="eastAsia"/>
          <w:color w:val="auto"/>
          <w:highlight w:val="none"/>
        </w:rPr>
      </w:pPr>
      <w:r>
        <w:rPr>
          <w:color w:val="auto"/>
          <w:highlight w:val="none"/>
        </w:rPr>
        <w:br w:type="page"/>
      </w:r>
    </w:p>
    <w:p>
      <w:pPr>
        <w:pStyle w:val="13"/>
        <w:ind w:left="-4" w:leftChars="-2" w:firstLine="4" w:firstLineChars="2"/>
        <w:rPr>
          <w:color w:val="auto"/>
          <w:highlight w:val="none"/>
        </w:rPr>
      </w:pPr>
      <w:bookmarkStart w:id="0" w:name="_Toc475194277"/>
      <w:r>
        <w:rPr>
          <w:rFonts w:hint="eastAsia"/>
          <w:color w:val="auto"/>
          <w:highlight w:val="none"/>
        </w:rPr>
        <w:t>投承保</w:t>
      </w:r>
      <w:r>
        <w:rPr>
          <w:color w:val="auto"/>
          <w:highlight w:val="none"/>
        </w:rPr>
        <w:t>方式</w:t>
      </w:r>
      <w:r>
        <w:rPr>
          <w:rFonts w:hint="eastAsia"/>
          <w:color w:val="auto"/>
          <w:highlight w:val="none"/>
        </w:rPr>
        <w:t>简述</w:t>
      </w:r>
      <w:r>
        <w:rPr>
          <w:color w:val="auto"/>
          <w:highlight w:val="none"/>
        </w:rPr>
        <w:t>：</w:t>
      </w:r>
    </w:p>
    <w:p>
      <w:pPr>
        <w:pStyle w:val="13"/>
        <w:numPr>
          <w:ilvl w:val="0"/>
          <w:numId w:val="2"/>
        </w:numPr>
        <w:ind w:firstLine="6" w:firstLineChars="0"/>
        <w:rPr>
          <w:rFonts w:hint="eastAsia"/>
          <w:color w:val="000000"/>
          <w:highlight w:val="yellow"/>
        </w:rPr>
      </w:pPr>
      <w:r>
        <w:rPr>
          <w:rFonts w:hint="eastAsia"/>
          <w:highlight w:val="yellow"/>
        </w:rPr>
        <w:t>续保功能校验支持：支持前期承保保单本年度续保，核心须根据客户原保单号、身份证、保单理赔情况作续保承保校验，续保保单起期无缝衔接原保单止期。</w:t>
      </w:r>
    </w:p>
    <w:p>
      <w:pPr>
        <w:pStyle w:val="13"/>
        <w:ind w:left="-4" w:leftChars="-2" w:firstLine="4" w:firstLineChars="2"/>
        <w:rPr>
          <w:color w:val="auto"/>
          <w:highlight w:val="none"/>
        </w:rPr>
      </w:pPr>
    </w:p>
    <w:p>
      <w:pPr>
        <w:pStyle w:val="13"/>
        <w:numPr>
          <w:ilvl w:val="0"/>
          <w:numId w:val="2"/>
        </w:numPr>
        <w:ind w:firstLine="6" w:firstLineChars="0"/>
        <w:rPr>
          <w:color w:val="000000"/>
        </w:rPr>
      </w:pPr>
      <w:r>
        <w:rPr>
          <w:rFonts w:hint="eastAsia"/>
          <w:color w:val="000000"/>
        </w:rPr>
        <w:t>投保人</w:t>
      </w:r>
      <w:r>
        <w:rPr>
          <w:color w:val="000000"/>
        </w:rPr>
        <w:t>：</w:t>
      </w:r>
      <w:r>
        <w:rPr>
          <w:rFonts w:hint="eastAsia"/>
          <w:color w:val="000000"/>
        </w:rPr>
        <w:t>渠道前端投保的客户，18—65周岁（含）</w:t>
      </w:r>
    </w:p>
    <w:p>
      <w:pPr>
        <w:pStyle w:val="13"/>
        <w:numPr>
          <w:ilvl w:val="1"/>
          <w:numId w:val="2"/>
        </w:numPr>
        <w:ind w:firstLineChars="0"/>
        <w:rPr>
          <w:rFonts w:hint="eastAsia"/>
          <w:color w:val="000000"/>
        </w:rPr>
      </w:pPr>
      <w:r>
        <w:rPr>
          <w:color w:val="000000"/>
        </w:rPr>
        <w:t>被保险人：</w:t>
      </w:r>
      <w:r>
        <w:rPr>
          <w:rFonts w:hint="eastAsia"/>
          <w:color w:val="000000"/>
        </w:rPr>
        <w:t>投被保险人关系可以为：本人、子女</w:t>
      </w:r>
      <w:r>
        <w:rPr>
          <w:rFonts w:hint="eastAsia"/>
          <w:color w:val="000000"/>
          <w:lang w:eastAsia="zh-CN"/>
        </w:rPr>
        <w:t>、配偶、父母</w:t>
      </w:r>
    </w:p>
    <w:p>
      <w:pPr>
        <w:pStyle w:val="13"/>
        <w:ind w:left="840" w:firstLine="0" w:firstLineChars="0"/>
        <w:rPr>
          <w:rFonts w:hint="eastAsia"/>
          <w:color w:val="000000"/>
        </w:rPr>
      </w:pPr>
      <w:r>
        <w:rPr>
          <w:rFonts w:hint="eastAsia"/>
          <w:color w:val="000000"/>
          <w:lang w:eastAsia="zh-CN"/>
        </w:rPr>
        <w:t>幼</w:t>
      </w:r>
      <w:r>
        <w:rPr>
          <w:rFonts w:hint="eastAsia"/>
          <w:color w:val="000000"/>
        </w:rPr>
        <w:t>儿版被保人为投保人子女，年龄0（</w:t>
      </w:r>
      <w:r>
        <w:t>出生满30天</w:t>
      </w:r>
      <w:r>
        <w:rPr>
          <w:rFonts w:hint="eastAsia"/>
          <w:color w:val="000000"/>
        </w:rPr>
        <w:t>）-</w:t>
      </w:r>
      <w:r>
        <w:rPr>
          <w:rFonts w:hint="eastAsia"/>
          <w:color w:val="000000"/>
          <w:lang w:val="en-US" w:eastAsia="zh-CN"/>
        </w:rPr>
        <w:t>3</w:t>
      </w:r>
      <w:r>
        <w:rPr>
          <w:rFonts w:hint="eastAsia"/>
          <w:color w:val="000000"/>
        </w:rPr>
        <w:t>周岁（含）</w:t>
      </w:r>
    </w:p>
    <w:p>
      <w:pPr>
        <w:pStyle w:val="13"/>
        <w:ind w:left="840" w:firstLine="0" w:firstLineChars="0"/>
        <w:rPr>
          <w:color w:val="000000"/>
        </w:rPr>
      </w:pPr>
      <w:r>
        <w:rPr>
          <w:rFonts w:hint="eastAsia"/>
          <w:color w:val="000000"/>
        </w:rPr>
        <w:t>少儿版被保人为投保人子女，年龄</w:t>
      </w:r>
      <w:r>
        <w:rPr>
          <w:rFonts w:hint="eastAsia"/>
          <w:color w:val="000000"/>
          <w:lang w:val="en-US" w:eastAsia="zh-CN"/>
        </w:rPr>
        <w:t>4</w:t>
      </w:r>
      <w:r>
        <w:rPr>
          <w:rFonts w:hint="eastAsia"/>
          <w:color w:val="000000"/>
        </w:rPr>
        <w:t>-17周岁（含）</w:t>
      </w:r>
    </w:p>
    <w:p>
      <w:pPr>
        <w:pStyle w:val="13"/>
        <w:ind w:left="840" w:firstLine="0" w:firstLineChars="0"/>
        <w:rPr>
          <w:color w:val="000000"/>
        </w:rPr>
      </w:pPr>
      <w:r>
        <w:rPr>
          <w:rFonts w:hint="eastAsia"/>
          <w:color w:val="000000"/>
        </w:rPr>
        <w:t>成人版被保人限为投保人</w:t>
      </w:r>
      <w:r>
        <w:rPr>
          <w:rFonts w:hint="eastAsia"/>
          <w:color w:val="000000"/>
          <w:highlight w:val="yellow"/>
        </w:rPr>
        <w:t>本人</w:t>
      </w:r>
      <w:r>
        <w:rPr>
          <w:rFonts w:hint="eastAsia"/>
          <w:color w:val="000000"/>
          <w:highlight w:val="none"/>
          <w:lang w:eastAsia="zh-CN"/>
        </w:rPr>
        <w:t>、配偶、父母、子女</w:t>
      </w:r>
      <w:r>
        <w:rPr>
          <w:rFonts w:hint="eastAsia"/>
          <w:color w:val="000000"/>
        </w:rPr>
        <w:t>，年龄限为18-49周岁（含）</w:t>
      </w:r>
    </w:p>
    <w:p>
      <w:pPr>
        <w:pStyle w:val="13"/>
        <w:ind w:left="840" w:firstLine="0" w:firstLineChars="0"/>
        <w:rPr>
          <w:color w:val="000000"/>
        </w:rPr>
      </w:pPr>
      <w:r>
        <w:rPr>
          <w:rFonts w:hint="eastAsia"/>
          <w:color w:val="000000"/>
        </w:rPr>
        <w:t>老人版被保人限为投保人</w:t>
      </w:r>
      <w:r>
        <w:rPr>
          <w:rFonts w:hint="eastAsia"/>
          <w:color w:val="000000"/>
          <w:highlight w:val="yellow"/>
        </w:rPr>
        <w:t>本人</w:t>
      </w:r>
      <w:r>
        <w:rPr>
          <w:rFonts w:hint="eastAsia"/>
          <w:color w:val="000000"/>
          <w:highlight w:val="none"/>
          <w:lang w:eastAsia="zh-CN"/>
        </w:rPr>
        <w:t>、配偶、父母</w:t>
      </w:r>
      <w:r>
        <w:rPr>
          <w:rFonts w:hint="eastAsia"/>
          <w:color w:val="000000"/>
        </w:rPr>
        <w:t>，年龄限为50-65周岁（含）</w:t>
      </w:r>
    </w:p>
    <w:p>
      <w:pPr>
        <w:pStyle w:val="13"/>
        <w:numPr>
          <w:ilvl w:val="1"/>
          <w:numId w:val="2"/>
        </w:numPr>
        <w:ind w:firstLineChars="0"/>
        <w:rPr>
          <w:color w:val="000000"/>
        </w:rPr>
      </w:pPr>
      <w:r>
        <w:rPr>
          <w:color w:val="000000"/>
        </w:rPr>
        <w:t>受益人：</w:t>
      </w:r>
      <w:r>
        <w:rPr>
          <w:rFonts w:hint="eastAsia"/>
          <w:color w:val="000000"/>
        </w:rPr>
        <w:t>法定</w:t>
      </w:r>
    </w:p>
    <w:p>
      <w:pPr>
        <w:pStyle w:val="13"/>
        <w:numPr>
          <w:ilvl w:val="0"/>
          <w:numId w:val="3"/>
        </w:numPr>
        <w:ind w:firstLineChars="0"/>
        <w:rPr>
          <w:color w:val="auto"/>
          <w:highlight w:val="none"/>
        </w:rPr>
      </w:pPr>
      <w:r>
        <w:rPr>
          <w:rFonts w:hint="eastAsia"/>
          <w:color w:val="auto"/>
          <w:highlight w:val="none"/>
        </w:rPr>
        <w:t>批改</w:t>
      </w:r>
      <w:r>
        <w:rPr>
          <w:color w:val="auto"/>
          <w:highlight w:val="none"/>
        </w:rPr>
        <w:t>方式：</w:t>
      </w:r>
      <w:r>
        <w:rPr>
          <w:rFonts w:hint="eastAsia"/>
          <w:color w:val="auto"/>
          <w:highlight w:val="none"/>
          <w:lang w:eastAsia="zh-CN"/>
        </w:rPr>
        <w:t>不支持渠道退保，支持微信退保，其余批改方式线下操作</w:t>
      </w:r>
    </w:p>
    <w:p>
      <w:pPr>
        <w:pStyle w:val="13"/>
        <w:numPr>
          <w:ilvl w:val="0"/>
          <w:numId w:val="3"/>
        </w:numPr>
        <w:ind w:left="420" w:hanging="420" w:hangingChars="200"/>
        <w:rPr>
          <w:rFonts w:hint="eastAsia"/>
          <w:color w:val="000000"/>
        </w:rPr>
      </w:pPr>
      <w:r>
        <w:rPr>
          <w:rFonts w:hint="eastAsia"/>
          <w:color w:val="auto"/>
          <w:highlight w:val="none"/>
        </w:rPr>
        <w:t>理赔</w:t>
      </w:r>
      <w:r>
        <w:rPr>
          <w:color w:val="auto"/>
          <w:highlight w:val="none"/>
        </w:rPr>
        <w:t>方式：</w:t>
      </w:r>
      <w:r>
        <w:rPr>
          <w:rFonts w:hint="eastAsia"/>
          <w:color w:val="000000"/>
        </w:rPr>
        <w:t>线上理赔。</w:t>
      </w:r>
    </w:p>
    <w:p>
      <w:pPr>
        <w:numPr>
          <w:ilvl w:val="0"/>
          <w:numId w:val="4"/>
        </w:numPr>
        <w:ind w:left="420" w:hanging="420"/>
        <w:rPr>
          <w:rFonts w:hint="eastAsia"/>
          <w:color w:val="000000"/>
        </w:rPr>
      </w:pPr>
      <w:r>
        <w:rPr>
          <w:rFonts w:hint="eastAsia" w:ascii="宋体" w:hAnsi="宋体"/>
          <w:sz w:val="21"/>
          <w:lang w:val="zh-CN"/>
        </w:rPr>
        <w:t>分期业务：否</w:t>
      </w:r>
    </w:p>
    <w:p>
      <w:pPr>
        <w:numPr>
          <w:ilvl w:val="0"/>
          <w:numId w:val="4"/>
        </w:numPr>
        <w:ind w:left="420" w:hanging="420"/>
        <w:rPr>
          <w:rFonts w:hint="eastAsia"/>
          <w:color w:val="000000"/>
        </w:rPr>
      </w:pPr>
      <w:r>
        <w:rPr>
          <w:rFonts w:hint="eastAsia"/>
          <w:sz w:val="21"/>
          <w:lang w:val="zh-CN"/>
        </w:rPr>
        <w:t>等待期：</w:t>
      </w:r>
      <w:r>
        <w:rPr>
          <w:rFonts w:hint="eastAsia"/>
          <w:sz w:val="21"/>
          <w:lang w:val="en-US" w:eastAsia="zh-CN"/>
        </w:rPr>
        <w:t>90天</w:t>
      </w:r>
    </w:p>
    <w:p>
      <w:pPr>
        <w:rPr>
          <w:color w:val="000000"/>
        </w:rPr>
      </w:pPr>
      <w:r>
        <w:rPr>
          <w:rFonts w:hint="eastAsia"/>
          <w:color w:val="000000"/>
        </w:rPr>
        <w:t>1307续保规则：</w:t>
      </w:r>
    </w:p>
    <w:p>
      <w:pPr>
        <w:rPr>
          <w:highlight w:val="yellow"/>
        </w:rPr>
      </w:pPr>
      <w:r>
        <w:rPr>
          <w:rFonts w:hint="eastAsia"/>
          <w:highlight w:val="yellow"/>
        </w:rPr>
        <w:t>续保宽限期，目前设置为30天，即终保日次日0时到第三十天24时为宽限期；</w:t>
      </w:r>
      <w:r>
        <w:rPr>
          <w:highlight w:val="yellow"/>
        </w:rPr>
        <w:t xml:space="preserve"> </w:t>
      </w:r>
    </w:p>
    <w:p>
      <w:pPr>
        <w:rPr>
          <w:highlight w:val="yellow"/>
        </w:rPr>
      </w:pPr>
      <w:r>
        <w:rPr>
          <w:rFonts w:hint="eastAsia"/>
          <w:highlight w:val="yellow"/>
        </w:rPr>
        <w:t>可续保期间：保单终保日前30天至保单终保日后30天；例如：保单2017年8月1日23:59:59到期，可续保期间为2017年7月3日00:00:00至2017年8月31日23:59:59。</w:t>
      </w:r>
    </w:p>
    <w:p>
      <w:pPr>
        <w:rPr>
          <w:highlight w:val="yellow"/>
        </w:rPr>
      </w:pPr>
      <w:r>
        <w:rPr>
          <w:rFonts w:hint="eastAsia"/>
          <w:highlight w:val="yellow"/>
        </w:rPr>
        <w:t>旧保单有效指：即未满期（或未超过宽限期）、未注销、未退保；</w:t>
      </w:r>
    </w:p>
    <w:p>
      <w:pPr>
        <w:pStyle w:val="13"/>
        <w:ind w:left="0" w:firstLine="0" w:firstLineChars="0"/>
        <w:rPr>
          <w:rFonts w:hint="eastAsia"/>
          <w:highlight w:val="yellow"/>
        </w:rPr>
      </w:pPr>
      <w:r>
        <w:rPr>
          <w:rFonts w:hint="eastAsia"/>
          <w:highlight w:val="yellow"/>
        </w:rPr>
        <w:t>续保后又办理退保，都可以允许其再次办理续保（续保次数不限）。</w:t>
      </w:r>
    </w:p>
    <w:p>
      <w:pPr>
        <w:pStyle w:val="13"/>
        <w:ind w:firstLine="0" w:firstLineChars="0"/>
        <w:rPr>
          <w:rFonts w:hint="eastAsia"/>
          <w:color w:val="auto"/>
          <w:highlight w:val="yellow"/>
        </w:rPr>
      </w:pPr>
    </w:p>
    <w:p>
      <w:pPr>
        <w:pStyle w:val="13"/>
        <w:numPr>
          <w:ilvl w:val="0"/>
          <w:numId w:val="0"/>
        </w:numPr>
        <w:ind w:leftChars="0"/>
        <w:rPr>
          <w:color w:val="auto"/>
          <w:highlight w:val="none"/>
          <w:lang w:val="en-US"/>
        </w:rPr>
      </w:pPr>
    </w:p>
    <w:bookmarkEnd w:id="0"/>
    <w:p>
      <w:pPr>
        <w:pStyle w:val="3"/>
        <w:numPr>
          <w:ilvl w:val="0"/>
          <w:numId w:val="0"/>
        </w:numPr>
        <w:ind w:left="0" w:firstLine="0"/>
        <w:rPr>
          <w:color w:val="auto"/>
          <w:highlight w:val="none"/>
        </w:rPr>
      </w:pPr>
      <w:bookmarkStart w:id="1" w:name="_Toc475194281"/>
      <w:bookmarkStart w:id="2" w:name="_Ref452044455"/>
      <w:bookmarkStart w:id="3" w:name="_Toc433029132"/>
      <w:r>
        <w:rPr>
          <w:rFonts w:hint="eastAsia"/>
          <w:color w:val="auto"/>
          <w:highlight w:val="none"/>
        </w:rPr>
        <w:t>险种</w:t>
      </w:r>
      <w:bookmarkEnd w:id="1"/>
      <w:bookmarkEnd w:id="2"/>
      <w:bookmarkEnd w:id="3"/>
    </w:p>
    <w:p>
      <w:pPr>
        <w:pStyle w:val="14"/>
        <w:numPr>
          <w:ilvl w:val="0"/>
          <w:numId w:val="5"/>
        </w:numPr>
        <w:ind w:firstLineChars="0"/>
        <w:rPr>
          <w:color w:val="auto"/>
          <w:highlight w:val="none"/>
          <w:u w:val="single"/>
        </w:rPr>
      </w:pPr>
      <w:bookmarkStart w:id="4" w:name="_Toc433029133"/>
      <w:r>
        <w:rPr>
          <w:rFonts w:hint="eastAsia"/>
          <w:color w:val="auto"/>
          <w:highlight w:val="none"/>
        </w:rPr>
        <w:t>产</w:t>
      </w:r>
      <w:r>
        <w:rPr>
          <w:color w:val="auto"/>
          <w:highlight w:val="none"/>
        </w:rPr>
        <w:t>品计划（</w:t>
      </w:r>
      <w:r>
        <w:rPr>
          <w:rFonts w:hint="eastAsia"/>
          <w:color w:val="auto"/>
          <w:highlight w:val="none"/>
        </w:rPr>
        <w:t>险种）名称：_住院保综合险</w:t>
      </w:r>
      <w:r>
        <w:rPr>
          <w:rStyle w:val="15"/>
          <w:rFonts w:hint="eastAsia"/>
          <w:color w:val="auto"/>
          <w:highlight w:val="none"/>
        </w:rPr>
        <w:t xml:space="preserve"> </w:t>
      </w:r>
      <w:r>
        <w:rPr>
          <w:rFonts w:hint="eastAsia"/>
          <w:color w:val="auto"/>
          <w:highlight w:val="none"/>
        </w:rPr>
        <w:t>______</w:t>
      </w:r>
    </w:p>
    <w:p>
      <w:pPr>
        <w:pStyle w:val="14"/>
        <w:numPr>
          <w:ilvl w:val="0"/>
          <w:numId w:val="5"/>
        </w:numPr>
        <w:ind w:firstLineChars="0"/>
        <w:rPr>
          <w:color w:val="auto"/>
          <w:highlight w:val="none"/>
        </w:rPr>
      </w:pPr>
      <w:r>
        <w:rPr>
          <w:rFonts w:hint="eastAsia"/>
          <w:color w:val="auto"/>
          <w:highlight w:val="none"/>
        </w:rPr>
        <w:t>产</w:t>
      </w:r>
      <w:r>
        <w:rPr>
          <w:color w:val="auto"/>
          <w:highlight w:val="none"/>
        </w:rPr>
        <w:t>品计划</w:t>
      </w:r>
      <w:r>
        <w:rPr>
          <w:rFonts w:hint="eastAsia"/>
          <w:color w:val="auto"/>
          <w:highlight w:val="none"/>
        </w:rPr>
        <w:t>（险种）代码：1307_____（如无特殊要求，险种代码可由项目组后续进行编写）</w:t>
      </w:r>
    </w:p>
    <w:p>
      <w:pPr>
        <w:pStyle w:val="14"/>
        <w:numPr>
          <w:ilvl w:val="0"/>
          <w:numId w:val="5"/>
        </w:numPr>
        <w:ind w:firstLineChars="0"/>
        <w:rPr>
          <w:color w:val="auto"/>
          <w:highlight w:val="none"/>
          <w:u w:val="single"/>
        </w:rPr>
      </w:pPr>
      <w:r>
        <w:rPr>
          <w:rFonts w:hint="eastAsia"/>
          <w:color w:val="auto"/>
          <w:highlight w:val="none"/>
        </w:rPr>
        <w:t>产</w:t>
      </w:r>
      <w:r>
        <w:rPr>
          <w:color w:val="auto"/>
          <w:highlight w:val="none"/>
        </w:rPr>
        <w:t>品计划</w:t>
      </w:r>
      <w:r>
        <w:rPr>
          <w:rFonts w:hint="eastAsia"/>
          <w:color w:val="auto"/>
          <w:highlight w:val="none"/>
        </w:rPr>
        <w:t>（险种）英文名称：</w:t>
      </w:r>
      <w:r>
        <w:rPr>
          <w:rFonts w:hint="eastAsia"/>
          <w:color w:val="auto"/>
          <w:highlight w:val="none"/>
          <w:u w:val="single"/>
        </w:rPr>
        <w:t xml:space="preserve">                  </w:t>
      </w:r>
    </w:p>
    <w:p>
      <w:pPr>
        <w:pStyle w:val="14"/>
        <w:ind w:left="420" w:firstLine="0" w:firstLineChars="0"/>
        <w:rPr>
          <w:color w:val="auto"/>
          <w:highlight w:val="none"/>
          <w:u w:val="single"/>
        </w:rPr>
      </w:pPr>
      <w:r>
        <w:rPr>
          <w:rFonts w:hint="eastAsia"/>
          <w:color w:val="auto"/>
          <w:highlight w:val="none"/>
        </w:rPr>
        <w:t>（销售</w:t>
      </w:r>
      <w:r>
        <w:rPr>
          <w:color w:val="auto"/>
          <w:highlight w:val="none"/>
        </w:rPr>
        <w:t>方案代码</w:t>
      </w:r>
      <w:r>
        <w:rPr>
          <w:rFonts w:hint="eastAsia"/>
          <w:color w:val="auto"/>
          <w:highlight w:val="none"/>
        </w:rPr>
        <w:t>/名称见</w:t>
      </w:r>
      <w:r>
        <w:rPr>
          <w:color w:val="auto"/>
          <w:highlight w:val="none"/>
        </w:rPr>
        <w:fldChar w:fldCharType="begin"/>
      </w:r>
      <w:r>
        <w:rPr>
          <w:rFonts w:hint="eastAsia"/>
          <w:color w:val="auto"/>
          <w:highlight w:val="none"/>
        </w:rPr>
        <w:instrText xml:space="preserve">REF _Ref452044404 \r \h</w:instrText>
      </w:r>
      <w:r>
        <w:rPr>
          <w:color w:val="auto"/>
          <w:highlight w:val="none"/>
        </w:rPr>
        <w:fldChar w:fldCharType="separate"/>
      </w:r>
      <w:r>
        <w:rPr>
          <w:color w:val="auto"/>
          <w:highlight w:val="none"/>
        </w:rPr>
        <w:t>2.7.2</w:t>
      </w:r>
      <w:r>
        <w:rPr>
          <w:color w:val="auto"/>
          <w:highlight w:val="none"/>
        </w:rPr>
        <w:fldChar w:fldCharType="end"/>
      </w:r>
      <w:r>
        <w:rPr>
          <w:rFonts w:hint="eastAsia"/>
          <w:color w:val="auto"/>
          <w:highlight w:val="none"/>
        </w:rPr>
        <w:t>章节）</w:t>
      </w:r>
    </w:p>
    <w:p>
      <w:pPr>
        <w:pStyle w:val="3"/>
        <w:numPr>
          <w:ilvl w:val="0"/>
          <w:numId w:val="0"/>
        </w:numPr>
        <w:ind w:left="0" w:firstLine="0"/>
        <w:rPr>
          <w:color w:val="auto"/>
          <w:highlight w:val="none"/>
        </w:rPr>
      </w:pPr>
      <w:bookmarkStart w:id="5" w:name="_Ref447877792"/>
      <w:bookmarkStart w:id="6" w:name="_Ref447877795"/>
      <w:bookmarkStart w:id="7" w:name="_Toc475194282"/>
      <w:r>
        <w:rPr>
          <w:rFonts w:hint="eastAsia"/>
          <w:color w:val="auto"/>
          <w:highlight w:val="none"/>
        </w:rPr>
        <w:t>险别</w:t>
      </w:r>
      <w:bookmarkEnd w:id="4"/>
      <w:bookmarkEnd w:id="5"/>
      <w:bookmarkEnd w:id="6"/>
      <w:bookmarkEnd w:id="7"/>
    </w:p>
    <w:p>
      <w:pPr>
        <w:pStyle w:val="14"/>
        <w:numPr>
          <w:ilvl w:val="0"/>
          <w:numId w:val="6"/>
        </w:numPr>
        <w:ind w:firstLineChars="0"/>
        <w:rPr>
          <w:color w:val="auto"/>
          <w:highlight w:val="none"/>
        </w:rPr>
      </w:pPr>
      <w:bookmarkStart w:id="8" w:name="_Toc433029134"/>
      <w:r>
        <w:rPr>
          <w:rFonts w:hint="eastAsia"/>
          <w:color w:val="auto"/>
          <w:highlight w:val="none"/>
        </w:rPr>
        <w:t>该险种投保险别（</w:t>
      </w:r>
      <w:r>
        <w:rPr>
          <w:color w:val="auto"/>
          <w:highlight w:val="none"/>
        </w:rPr>
        <w:t>条款）</w:t>
      </w:r>
      <w:r>
        <w:rPr>
          <w:rFonts w:hint="eastAsia"/>
          <w:color w:val="auto"/>
          <w:highlight w:val="none"/>
        </w:rPr>
        <w:t>包括哪些？</w:t>
      </w:r>
    </w:p>
    <w:p>
      <w:pPr>
        <w:pStyle w:val="14"/>
        <w:ind w:left="420" w:firstLine="0" w:firstLineChars="0"/>
        <w:rPr>
          <w:color w:val="auto"/>
          <w:highlight w:val="none"/>
        </w:rPr>
      </w:pPr>
      <w:r>
        <w:rPr>
          <w:rFonts w:hint="eastAsia"/>
          <w:color w:val="auto"/>
          <w:highlight w:val="none"/>
        </w:rPr>
        <w:t>险类、险种、险别关系如下：一个险类可以包括多个险种，一个险种包括多个险别（可参考术语与缩写词中的“险别”说明）。</w:t>
      </w:r>
    </w:p>
    <w:p>
      <w:pPr>
        <w:pStyle w:val="14"/>
        <w:ind w:left="420" w:firstLine="0" w:firstLineChars="0"/>
        <w:rPr>
          <w:color w:val="auto"/>
          <w:highlight w:val="none"/>
        </w:rPr>
      </w:pPr>
      <w:bookmarkStart w:id="9" w:name="_MON_1548499623"/>
      <w:bookmarkEnd w:id="9"/>
    </w:p>
    <w:tbl>
      <w:tblPr>
        <w:tblStyle w:val="11"/>
        <w:tblW w:w="9089" w:type="dxa"/>
        <w:tblInd w:w="0"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
      <w:tblGrid>
        <w:gridCol w:w="828"/>
        <w:gridCol w:w="1570"/>
        <w:gridCol w:w="807"/>
        <w:gridCol w:w="566"/>
        <w:gridCol w:w="2660"/>
        <w:gridCol w:w="2658"/>
      </w:tblGrid>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715" w:hRule="atLeast"/>
        </w:trPr>
        <w:tc>
          <w:tcPr>
            <w:tcW w:w="828" w:type="dxa"/>
            <w:tcBorders>
              <w:bottom w:val="single" w:color="666666" w:sz="12" w:space="0"/>
            </w:tcBorders>
            <w:shd w:val="clear" w:color="auto" w:fill="F2F2F2"/>
            <w:vAlign w:val="center"/>
          </w:tcPr>
          <w:p>
            <w:pPr>
              <w:pStyle w:val="6"/>
              <w:jc w:val="center"/>
              <w:rPr>
                <w:rFonts w:hAnsi="宋体"/>
                <w:b/>
                <w:bCs/>
                <w:color w:val="auto"/>
                <w:kern w:val="2"/>
                <w:sz w:val="21"/>
                <w:highlight w:val="none"/>
                <w:lang w:val="en-US" w:eastAsia="zh-CN"/>
              </w:rPr>
            </w:pPr>
            <w:r>
              <w:rPr>
                <w:rFonts w:hint="eastAsia" w:hAnsi="宋体"/>
                <w:b/>
                <w:bCs/>
                <w:color w:val="auto"/>
                <w:kern w:val="2"/>
                <w:sz w:val="21"/>
                <w:highlight w:val="none"/>
                <w:lang w:val="en-US" w:eastAsia="zh-CN"/>
              </w:rPr>
              <w:t>险别</w:t>
            </w:r>
            <w:r>
              <w:rPr>
                <w:rFonts w:hAnsi="宋体"/>
                <w:b/>
                <w:bCs/>
                <w:color w:val="auto"/>
                <w:kern w:val="2"/>
                <w:sz w:val="21"/>
                <w:highlight w:val="none"/>
                <w:lang w:val="en-US" w:eastAsia="zh-CN"/>
              </w:rPr>
              <w:t>代码</w:t>
            </w:r>
            <w:r>
              <w:rPr>
                <w:rFonts w:hint="eastAsia" w:hAnsi="宋体"/>
                <w:b/>
                <w:bCs/>
                <w:color w:val="auto"/>
                <w:kern w:val="2"/>
                <w:sz w:val="21"/>
                <w:highlight w:val="none"/>
                <w:lang w:val="en-US" w:eastAsia="zh-CN"/>
              </w:rPr>
              <w:t>（由项目组编写）</w:t>
            </w:r>
          </w:p>
        </w:tc>
        <w:tc>
          <w:tcPr>
            <w:tcW w:w="1570" w:type="dxa"/>
            <w:tcBorders>
              <w:bottom w:val="single" w:color="666666" w:sz="12" w:space="0"/>
            </w:tcBorders>
            <w:shd w:val="clear" w:color="auto" w:fill="F2F2F2"/>
            <w:vAlign w:val="center"/>
          </w:tcPr>
          <w:p>
            <w:pPr>
              <w:pStyle w:val="6"/>
              <w:jc w:val="center"/>
              <w:rPr>
                <w:rFonts w:hAnsi="宋体"/>
                <w:b/>
                <w:bCs/>
                <w:color w:val="auto"/>
                <w:kern w:val="2"/>
                <w:sz w:val="21"/>
                <w:highlight w:val="none"/>
                <w:lang w:val="en-US" w:eastAsia="zh-CN"/>
              </w:rPr>
            </w:pPr>
            <w:r>
              <w:rPr>
                <w:rFonts w:hint="eastAsia" w:hAnsi="宋体"/>
                <w:b/>
                <w:bCs/>
                <w:color w:val="auto"/>
                <w:kern w:val="2"/>
                <w:sz w:val="21"/>
                <w:highlight w:val="none"/>
                <w:lang w:val="en-US" w:eastAsia="zh-CN"/>
              </w:rPr>
              <w:t>险别（</w:t>
            </w:r>
            <w:r>
              <w:rPr>
                <w:rFonts w:hAnsi="宋体"/>
                <w:b/>
                <w:bCs/>
                <w:color w:val="auto"/>
                <w:kern w:val="2"/>
                <w:sz w:val="21"/>
                <w:highlight w:val="none"/>
                <w:lang w:val="en-US" w:eastAsia="zh-CN"/>
              </w:rPr>
              <w:t>条款）</w:t>
            </w:r>
            <w:r>
              <w:rPr>
                <w:rFonts w:hint="eastAsia" w:hAnsi="宋体"/>
                <w:b/>
                <w:bCs/>
                <w:color w:val="auto"/>
                <w:kern w:val="2"/>
                <w:sz w:val="21"/>
                <w:highlight w:val="none"/>
                <w:lang w:val="en-US" w:eastAsia="zh-CN"/>
              </w:rPr>
              <w:t>中文名称</w:t>
            </w:r>
          </w:p>
        </w:tc>
        <w:tc>
          <w:tcPr>
            <w:tcW w:w="807" w:type="dxa"/>
            <w:tcBorders>
              <w:bottom w:val="single" w:color="666666" w:sz="12" w:space="0"/>
            </w:tcBorders>
            <w:shd w:val="clear" w:color="auto" w:fill="F2F2F2"/>
            <w:vAlign w:val="center"/>
          </w:tcPr>
          <w:p>
            <w:pPr>
              <w:pStyle w:val="6"/>
              <w:jc w:val="center"/>
              <w:rPr>
                <w:rFonts w:hAnsi="宋体"/>
                <w:b/>
                <w:bCs/>
                <w:color w:val="auto"/>
                <w:kern w:val="2"/>
                <w:sz w:val="21"/>
                <w:highlight w:val="none"/>
                <w:lang w:val="en-US" w:eastAsia="zh-CN"/>
              </w:rPr>
            </w:pPr>
            <w:r>
              <w:rPr>
                <w:rFonts w:hint="eastAsia" w:hAnsi="宋体"/>
                <w:b/>
                <w:bCs/>
                <w:color w:val="auto"/>
                <w:kern w:val="2"/>
                <w:sz w:val="21"/>
                <w:highlight w:val="none"/>
                <w:lang w:val="en-US" w:eastAsia="zh-CN"/>
              </w:rPr>
              <w:t>险别（</w:t>
            </w:r>
            <w:r>
              <w:rPr>
                <w:rFonts w:hAnsi="宋体"/>
                <w:b/>
                <w:bCs/>
                <w:color w:val="auto"/>
                <w:kern w:val="2"/>
                <w:sz w:val="21"/>
                <w:highlight w:val="none"/>
                <w:lang w:val="en-US" w:eastAsia="zh-CN"/>
              </w:rPr>
              <w:t>条款）</w:t>
            </w:r>
            <w:r>
              <w:rPr>
                <w:rFonts w:hint="eastAsia" w:hAnsi="宋体"/>
                <w:b/>
                <w:bCs/>
                <w:color w:val="auto"/>
                <w:kern w:val="2"/>
                <w:sz w:val="21"/>
                <w:highlight w:val="none"/>
                <w:lang w:val="en-US" w:eastAsia="zh-CN"/>
              </w:rPr>
              <w:t>英文名称</w:t>
            </w:r>
          </w:p>
        </w:tc>
        <w:tc>
          <w:tcPr>
            <w:tcW w:w="566" w:type="dxa"/>
            <w:tcBorders>
              <w:bottom w:val="single" w:color="666666" w:sz="12" w:space="0"/>
            </w:tcBorders>
            <w:shd w:val="clear" w:color="auto" w:fill="F2F2F2"/>
            <w:vAlign w:val="center"/>
          </w:tcPr>
          <w:p>
            <w:pPr>
              <w:pStyle w:val="6"/>
              <w:jc w:val="center"/>
              <w:rPr>
                <w:rFonts w:hAnsi="宋体"/>
                <w:b/>
                <w:bCs/>
                <w:color w:val="auto"/>
                <w:kern w:val="2"/>
                <w:sz w:val="21"/>
                <w:highlight w:val="none"/>
                <w:lang w:val="en-US" w:eastAsia="zh-CN"/>
              </w:rPr>
            </w:pPr>
            <w:r>
              <w:rPr>
                <w:rFonts w:hint="eastAsia" w:hAnsi="宋体"/>
                <w:b/>
                <w:bCs/>
                <w:color w:val="auto"/>
                <w:kern w:val="2"/>
                <w:sz w:val="21"/>
                <w:highlight w:val="none"/>
                <w:lang w:val="en-US" w:eastAsia="zh-CN"/>
              </w:rPr>
              <w:t>主险/附加险</w:t>
            </w:r>
          </w:p>
        </w:tc>
        <w:tc>
          <w:tcPr>
            <w:tcW w:w="2660" w:type="dxa"/>
            <w:tcBorders>
              <w:bottom w:val="single" w:color="666666" w:sz="12" w:space="0"/>
            </w:tcBorders>
            <w:shd w:val="clear" w:color="auto" w:fill="F2F2F2"/>
            <w:vAlign w:val="center"/>
          </w:tcPr>
          <w:p>
            <w:pPr>
              <w:pStyle w:val="6"/>
              <w:jc w:val="center"/>
              <w:rPr>
                <w:rFonts w:hAnsi="宋体"/>
                <w:b/>
                <w:bCs/>
                <w:color w:val="auto"/>
                <w:kern w:val="2"/>
                <w:sz w:val="21"/>
                <w:highlight w:val="none"/>
                <w:lang w:val="en-US" w:eastAsia="zh-CN"/>
              </w:rPr>
            </w:pPr>
            <w:r>
              <w:rPr>
                <w:rFonts w:hint="eastAsia" w:hAnsi="宋体"/>
                <w:b/>
                <w:bCs/>
                <w:color w:val="auto"/>
                <w:kern w:val="2"/>
                <w:sz w:val="21"/>
                <w:highlight w:val="none"/>
                <w:lang w:val="en-US" w:eastAsia="zh-CN"/>
              </w:rPr>
              <w:t>该险别对应的条款</w:t>
            </w:r>
            <w:r>
              <w:rPr>
                <w:rFonts w:hAnsi="宋体"/>
                <w:b/>
                <w:bCs/>
                <w:color w:val="auto"/>
                <w:kern w:val="2"/>
                <w:sz w:val="21"/>
                <w:highlight w:val="none"/>
                <w:lang w:val="en-US" w:eastAsia="zh-CN"/>
              </w:rPr>
              <w:t>名称</w:t>
            </w:r>
          </w:p>
        </w:tc>
        <w:tc>
          <w:tcPr>
            <w:tcW w:w="2658" w:type="dxa"/>
            <w:tcBorders>
              <w:bottom w:val="single" w:color="666666" w:sz="12" w:space="0"/>
            </w:tcBorders>
            <w:shd w:val="clear" w:color="auto" w:fill="F2F2F2"/>
            <w:vAlign w:val="top"/>
          </w:tcPr>
          <w:p>
            <w:pPr>
              <w:pStyle w:val="6"/>
              <w:jc w:val="center"/>
              <w:rPr>
                <w:rFonts w:hAnsi="宋体"/>
                <w:b/>
                <w:bCs/>
                <w:color w:val="auto"/>
                <w:kern w:val="2"/>
                <w:sz w:val="21"/>
                <w:highlight w:val="none"/>
                <w:lang w:val="en-US" w:eastAsia="zh-CN"/>
              </w:rPr>
            </w:pPr>
            <w:r>
              <w:rPr>
                <w:rFonts w:hint="eastAsia" w:hAnsi="宋体"/>
                <w:b/>
                <w:bCs/>
                <w:color w:val="auto"/>
                <w:kern w:val="2"/>
                <w:sz w:val="21"/>
                <w:highlight w:val="none"/>
                <w:lang w:val="en-US" w:eastAsia="zh-CN"/>
              </w:rPr>
              <w:t>是否进入大数据核保及相应模型</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38" w:hRule="atLeast"/>
        </w:trPr>
        <w:tc>
          <w:tcPr>
            <w:tcW w:w="828" w:type="dxa"/>
            <w:vAlign w:val="center"/>
          </w:tcPr>
          <w:p>
            <w:pPr>
              <w:pStyle w:val="6"/>
              <w:rPr>
                <w:rFonts w:hAnsi="宋体"/>
                <w:bCs/>
                <w:color w:val="auto"/>
                <w:kern w:val="2"/>
                <w:szCs w:val="20"/>
                <w:highlight w:val="none"/>
                <w:lang w:val="en-US" w:eastAsia="zh-CN"/>
              </w:rPr>
            </w:pPr>
            <w:r>
              <w:rPr>
                <w:rFonts w:hAnsi="宋体"/>
                <w:bCs/>
                <w:color w:val="4BACC6"/>
                <w:kern w:val="2"/>
                <w:szCs w:val="20"/>
                <w:lang w:val="en-US" w:eastAsia="zh-CN"/>
              </w:rPr>
              <w:t>1122031</w:t>
            </w:r>
          </w:p>
        </w:tc>
        <w:tc>
          <w:tcPr>
            <w:tcW w:w="1570" w:type="dxa"/>
            <w:vAlign w:val="center"/>
          </w:tcPr>
          <w:p>
            <w:pPr>
              <w:pStyle w:val="6"/>
              <w:rPr>
                <w:rFonts w:hAnsi="宋体"/>
                <w:color w:val="auto"/>
                <w:kern w:val="2"/>
                <w:szCs w:val="20"/>
                <w:highlight w:val="none"/>
                <w:lang w:val="en-US" w:eastAsia="zh-CN"/>
              </w:rPr>
            </w:pPr>
            <w:r>
              <w:rPr>
                <w:rFonts w:hint="eastAsia" w:hAnsi="宋体"/>
                <w:kern w:val="2"/>
                <w:szCs w:val="20"/>
                <w:lang w:val="en-US" w:eastAsia="zh-CN"/>
              </w:rPr>
              <w:t>人身意外伤害身故</w:t>
            </w:r>
            <w:r>
              <w:rPr>
                <w:rFonts w:hAnsi="宋体"/>
                <w:kern w:val="2"/>
                <w:szCs w:val="20"/>
                <w:lang w:val="en-US" w:eastAsia="zh-CN"/>
              </w:rPr>
              <w:t>/伤残保险</w:t>
            </w:r>
          </w:p>
        </w:tc>
        <w:tc>
          <w:tcPr>
            <w:tcW w:w="807" w:type="dxa"/>
            <w:vAlign w:val="center"/>
          </w:tcPr>
          <w:p>
            <w:pPr>
              <w:pStyle w:val="6"/>
              <w:rPr>
                <w:rFonts w:hAnsi="宋体"/>
                <w:color w:val="auto"/>
                <w:kern w:val="2"/>
                <w:szCs w:val="20"/>
                <w:highlight w:val="none"/>
                <w:lang w:val="en-US" w:eastAsia="zh-CN"/>
              </w:rPr>
            </w:pPr>
          </w:p>
        </w:tc>
        <w:tc>
          <w:tcPr>
            <w:tcW w:w="566" w:type="dxa"/>
            <w:vAlign w:val="center"/>
          </w:tcPr>
          <w:p>
            <w:pPr>
              <w:pStyle w:val="6"/>
              <w:rPr>
                <w:rFonts w:hAnsi="宋体"/>
                <w:color w:val="auto"/>
                <w:kern w:val="2"/>
                <w:szCs w:val="20"/>
                <w:highlight w:val="none"/>
                <w:lang w:val="en-US" w:eastAsia="zh-CN"/>
              </w:rPr>
            </w:pPr>
            <w:r>
              <w:rPr>
                <w:rFonts w:hint="eastAsia" w:hAnsi="宋体"/>
                <w:kern w:val="2"/>
                <w:szCs w:val="20"/>
                <w:lang w:val="en-US" w:eastAsia="zh-CN"/>
              </w:rPr>
              <w:t>主险</w:t>
            </w:r>
          </w:p>
        </w:tc>
        <w:tc>
          <w:tcPr>
            <w:tcW w:w="2660" w:type="dxa"/>
            <w:vAlign w:val="center"/>
          </w:tcPr>
          <w:p>
            <w:pPr>
              <w:widowControl/>
              <w:adjustRightInd w:val="0"/>
              <w:snapToGrid w:val="0"/>
              <w:spacing w:after="156" w:afterLines="50"/>
              <w:rPr>
                <w:bCs/>
                <w:color w:val="auto"/>
                <w:sz w:val="20"/>
                <w:szCs w:val="20"/>
                <w:highlight w:val="none"/>
              </w:rPr>
            </w:pPr>
            <w:r>
              <w:t>泰康在线财产保险股份有限公司</w:t>
            </w:r>
            <w:r>
              <w:rPr>
                <w:rFonts w:hint="eastAsia" w:cs="宋体"/>
                <w:bCs/>
                <w:color w:val="000000"/>
                <w:sz w:val="20"/>
                <w:szCs w:val="20"/>
              </w:rPr>
              <w:t>人身意外伤害保险条款</w:t>
            </w:r>
          </w:p>
        </w:tc>
        <w:tc>
          <w:tcPr>
            <w:tcW w:w="2658" w:type="dxa"/>
            <w:vAlign w:val="top"/>
          </w:tcPr>
          <w:p>
            <w:pPr>
              <w:widowControl/>
              <w:adjustRightInd w:val="0"/>
              <w:snapToGrid w:val="0"/>
              <w:spacing w:after="156" w:afterLines="50"/>
              <w:rPr>
                <w:rFonts w:cs="宋体"/>
                <w:bCs/>
                <w:color w:val="auto"/>
                <w:sz w:val="20"/>
                <w:szCs w:val="20"/>
                <w:highlight w:val="none"/>
              </w:rPr>
            </w:pPr>
            <w:r>
              <w:rPr>
                <w:rFonts w:hint="eastAsia" w:cs="宋体"/>
                <w:bCs/>
                <w:color w:val="000000"/>
                <w:sz w:val="20"/>
                <w:szCs w:val="20"/>
              </w:rPr>
              <w:t>主险模型</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38" w:hRule="atLeast"/>
        </w:trPr>
        <w:tc>
          <w:tcPr>
            <w:tcW w:w="828" w:type="dxa"/>
            <w:vAlign w:val="center"/>
          </w:tcPr>
          <w:p>
            <w:pPr>
              <w:pStyle w:val="6"/>
              <w:rPr>
                <w:rFonts w:hAnsi="宋体"/>
                <w:bCs/>
                <w:color w:val="auto"/>
                <w:kern w:val="2"/>
                <w:szCs w:val="20"/>
                <w:highlight w:val="none"/>
                <w:lang w:val="en-US" w:eastAsia="zh-CN"/>
              </w:rPr>
            </w:pPr>
            <w:r>
              <w:rPr>
                <w:rFonts w:hAnsi="宋体"/>
                <w:bCs/>
                <w:color w:val="4BACC6"/>
                <w:kern w:val="2"/>
                <w:szCs w:val="20"/>
                <w:lang w:val="en-US" w:eastAsia="zh-CN"/>
              </w:rPr>
              <w:t>1122032</w:t>
            </w:r>
          </w:p>
        </w:tc>
        <w:tc>
          <w:tcPr>
            <w:tcW w:w="1570" w:type="dxa"/>
            <w:vAlign w:val="center"/>
          </w:tcPr>
          <w:p>
            <w:pPr>
              <w:pStyle w:val="6"/>
              <w:rPr>
                <w:rFonts w:hAnsi="宋体"/>
                <w:color w:val="auto"/>
                <w:kern w:val="2"/>
                <w:szCs w:val="20"/>
                <w:highlight w:val="none"/>
                <w:lang w:val="en-US" w:eastAsia="zh-CN"/>
              </w:rPr>
            </w:pPr>
            <w:r>
              <w:rPr>
                <w:rFonts w:hint="eastAsia" w:hAnsi="宋体"/>
                <w:kern w:val="2"/>
                <w:szCs w:val="20"/>
                <w:lang w:val="en-US" w:eastAsia="zh-CN"/>
              </w:rPr>
              <w:t>附加意外伤害医疗保险</w:t>
            </w:r>
          </w:p>
        </w:tc>
        <w:tc>
          <w:tcPr>
            <w:tcW w:w="807" w:type="dxa"/>
            <w:vAlign w:val="center"/>
          </w:tcPr>
          <w:p>
            <w:pPr>
              <w:pStyle w:val="6"/>
              <w:rPr>
                <w:rFonts w:hAnsi="宋体"/>
                <w:color w:val="auto"/>
                <w:kern w:val="2"/>
                <w:szCs w:val="20"/>
                <w:highlight w:val="none"/>
                <w:lang w:val="en-US" w:eastAsia="zh-CN"/>
              </w:rPr>
            </w:pPr>
          </w:p>
        </w:tc>
        <w:tc>
          <w:tcPr>
            <w:tcW w:w="566" w:type="dxa"/>
            <w:vAlign w:val="center"/>
          </w:tcPr>
          <w:p>
            <w:pPr>
              <w:pStyle w:val="6"/>
              <w:rPr>
                <w:rFonts w:hAnsi="宋体"/>
                <w:color w:val="auto"/>
                <w:kern w:val="2"/>
                <w:szCs w:val="20"/>
                <w:highlight w:val="none"/>
                <w:lang w:val="en-US" w:eastAsia="zh-CN"/>
              </w:rPr>
            </w:pPr>
            <w:r>
              <w:rPr>
                <w:rFonts w:hint="eastAsia" w:hAnsi="宋体"/>
                <w:kern w:val="2"/>
                <w:szCs w:val="20"/>
                <w:lang w:val="en-US" w:eastAsia="zh-CN"/>
              </w:rPr>
              <w:t>附加险</w:t>
            </w:r>
          </w:p>
        </w:tc>
        <w:tc>
          <w:tcPr>
            <w:tcW w:w="2660" w:type="dxa"/>
            <w:vAlign w:val="center"/>
          </w:tcPr>
          <w:p>
            <w:pPr>
              <w:pStyle w:val="6"/>
              <w:rPr>
                <w:rFonts w:hAnsi="宋体"/>
                <w:color w:val="auto"/>
                <w:kern w:val="2"/>
                <w:szCs w:val="20"/>
                <w:highlight w:val="none"/>
                <w:lang w:val="en-US" w:eastAsia="zh-CN"/>
              </w:rPr>
            </w:pPr>
            <w:r>
              <w:rPr>
                <w:rFonts w:hint="eastAsia" w:hAnsi="宋体"/>
                <w:kern w:val="2"/>
                <w:szCs w:val="20"/>
                <w:lang w:val="en-US" w:eastAsia="zh-CN"/>
              </w:rPr>
              <w:t>泰康在线财产保险股份有限公司附加意外伤害医疗保险条款</w:t>
            </w:r>
          </w:p>
        </w:tc>
        <w:tc>
          <w:tcPr>
            <w:tcW w:w="2658" w:type="dxa"/>
            <w:vAlign w:val="top"/>
          </w:tcPr>
          <w:p>
            <w:pPr>
              <w:pStyle w:val="6"/>
              <w:rPr>
                <w:rFonts w:hAnsi="宋体"/>
                <w:color w:val="auto"/>
                <w:kern w:val="2"/>
                <w:szCs w:val="20"/>
                <w:highlight w:val="none"/>
                <w:lang w:val="en-US" w:eastAsia="zh-CN"/>
              </w:rPr>
            </w:pPr>
            <w:r>
              <w:rPr>
                <w:rFonts w:hint="eastAsia" w:hAnsi="宋体"/>
                <w:kern w:val="2"/>
                <w:szCs w:val="20"/>
                <w:lang w:val="en-US" w:eastAsia="zh-CN"/>
              </w:rPr>
              <w:t>附加险模型</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38" w:hRule="atLeast"/>
        </w:trPr>
        <w:tc>
          <w:tcPr>
            <w:tcW w:w="828" w:type="dxa"/>
            <w:vAlign w:val="center"/>
          </w:tcPr>
          <w:p>
            <w:pPr>
              <w:pStyle w:val="6"/>
              <w:rPr>
                <w:rFonts w:hAnsi="宋体"/>
                <w:bCs/>
                <w:color w:val="auto"/>
                <w:kern w:val="2"/>
                <w:szCs w:val="20"/>
                <w:highlight w:val="none"/>
                <w:lang w:val="en-US" w:eastAsia="zh-CN"/>
              </w:rPr>
            </w:pPr>
            <w:r>
              <w:rPr>
                <w:rFonts w:hAnsi="宋体"/>
                <w:bCs/>
                <w:color w:val="4BACC6"/>
                <w:kern w:val="2"/>
                <w:szCs w:val="20"/>
                <w:lang w:val="en-US" w:eastAsia="zh-CN"/>
              </w:rPr>
              <w:t>100019</w:t>
            </w:r>
          </w:p>
        </w:tc>
        <w:tc>
          <w:tcPr>
            <w:tcW w:w="1570" w:type="dxa"/>
            <w:vAlign w:val="center"/>
          </w:tcPr>
          <w:p>
            <w:pPr>
              <w:pStyle w:val="6"/>
              <w:rPr>
                <w:rFonts w:hAnsi="宋体"/>
                <w:color w:val="auto"/>
                <w:kern w:val="2"/>
                <w:szCs w:val="20"/>
                <w:highlight w:val="none"/>
                <w:lang w:val="en-US" w:eastAsia="zh-CN"/>
              </w:rPr>
            </w:pPr>
            <w:r>
              <w:rPr>
                <w:rFonts w:hint="eastAsia" w:hAnsi="宋体"/>
                <w:kern w:val="2"/>
                <w:szCs w:val="20"/>
                <w:lang w:val="en-US" w:eastAsia="zh-CN"/>
              </w:rPr>
              <w:t>疾病住院医疗保险</w:t>
            </w:r>
          </w:p>
        </w:tc>
        <w:tc>
          <w:tcPr>
            <w:tcW w:w="807" w:type="dxa"/>
            <w:vAlign w:val="center"/>
          </w:tcPr>
          <w:p>
            <w:pPr>
              <w:pStyle w:val="6"/>
              <w:rPr>
                <w:rFonts w:hAnsi="宋体"/>
                <w:color w:val="auto"/>
                <w:kern w:val="2"/>
                <w:szCs w:val="20"/>
                <w:highlight w:val="none"/>
                <w:lang w:val="en-US" w:eastAsia="zh-CN"/>
              </w:rPr>
            </w:pPr>
          </w:p>
        </w:tc>
        <w:tc>
          <w:tcPr>
            <w:tcW w:w="566" w:type="dxa"/>
            <w:vAlign w:val="center"/>
          </w:tcPr>
          <w:p>
            <w:pPr>
              <w:pStyle w:val="6"/>
              <w:rPr>
                <w:rFonts w:hAnsi="宋体"/>
                <w:color w:val="auto"/>
                <w:kern w:val="2"/>
                <w:szCs w:val="20"/>
                <w:highlight w:val="none"/>
                <w:lang w:val="en-US" w:eastAsia="zh-CN"/>
              </w:rPr>
            </w:pPr>
            <w:r>
              <w:rPr>
                <w:rFonts w:hint="eastAsia" w:hAnsi="宋体"/>
                <w:kern w:val="2"/>
                <w:szCs w:val="20"/>
                <w:lang w:val="en-US" w:eastAsia="zh-CN"/>
              </w:rPr>
              <w:t>主险</w:t>
            </w:r>
          </w:p>
        </w:tc>
        <w:tc>
          <w:tcPr>
            <w:tcW w:w="2660" w:type="dxa"/>
            <w:vAlign w:val="center"/>
          </w:tcPr>
          <w:p>
            <w:pPr>
              <w:pStyle w:val="6"/>
              <w:rPr>
                <w:rFonts w:hAnsi="宋体"/>
                <w:color w:val="auto"/>
                <w:kern w:val="2"/>
                <w:szCs w:val="20"/>
                <w:highlight w:val="none"/>
                <w:lang w:val="en-US" w:eastAsia="zh-CN"/>
              </w:rPr>
            </w:pPr>
            <w:r>
              <w:rPr>
                <w:rFonts w:hint="eastAsia" w:hAnsi="宋体"/>
                <w:kern w:val="2"/>
                <w:szCs w:val="20"/>
                <w:lang w:val="en-US" w:eastAsia="zh-CN"/>
              </w:rPr>
              <w:t>泰康在线财产保险股份有限公司</w:t>
            </w:r>
            <w:r>
              <w:rPr>
                <w:rFonts w:hint="eastAsia"/>
              </w:rPr>
              <w:t>个人住院费用医疗保险（C款）条款</w:t>
            </w:r>
          </w:p>
        </w:tc>
        <w:tc>
          <w:tcPr>
            <w:tcW w:w="2658" w:type="dxa"/>
            <w:vAlign w:val="top"/>
          </w:tcPr>
          <w:p>
            <w:pPr>
              <w:pStyle w:val="6"/>
              <w:rPr>
                <w:rFonts w:hAnsi="宋体"/>
                <w:color w:val="auto"/>
                <w:kern w:val="2"/>
                <w:szCs w:val="20"/>
                <w:highlight w:val="none"/>
                <w:lang w:val="en-US" w:eastAsia="zh-CN"/>
              </w:rPr>
            </w:pPr>
            <w:r>
              <w:rPr>
                <w:rFonts w:hint="eastAsia" w:hAnsi="宋体"/>
                <w:kern w:val="2"/>
                <w:szCs w:val="20"/>
                <w:lang w:val="en-US" w:eastAsia="zh-CN"/>
              </w:rPr>
              <w:t>否</w:t>
            </w:r>
          </w:p>
        </w:tc>
      </w:tr>
    </w:tbl>
    <w:p>
      <w:pPr>
        <w:rPr>
          <w:color w:val="auto"/>
          <w:highlight w:val="none"/>
        </w:rPr>
      </w:pPr>
    </w:p>
    <w:p>
      <w:pPr>
        <w:pStyle w:val="14"/>
        <w:numPr>
          <w:ilvl w:val="0"/>
          <w:numId w:val="6"/>
        </w:numPr>
        <w:ind w:firstLineChars="0"/>
        <w:rPr>
          <w:rFonts w:hint="eastAsia"/>
          <w:color w:val="auto"/>
          <w:highlight w:val="none"/>
        </w:rPr>
      </w:pPr>
      <w:r>
        <w:rPr>
          <w:rFonts w:hint="eastAsia"/>
          <w:color w:val="auto"/>
          <w:highlight w:val="none"/>
        </w:rPr>
        <w:t>条款</w:t>
      </w:r>
      <w:r>
        <w:rPr>
          <w:color w:val="auto"/>
          <w:highlight w:val="none"/>
        </w:rPr>
        <w:t>内容请提供</w:t>
      </w:r>
      <w:r>
        <w:rPr>
          <w:rFonts w:hint="eastAsia"/>
          <w:color w:val="auto"/>
          <w:highlight w:val="none"/>
        </w:rPr>
        <w:t>（如条款未在下方压缩包中，需请产品提供PDF及WORD格式条款）</w:t>
      </w:r>
      <w:r>
        <w:rPr>
          <w:color w:val="auto"/>
          <w:highlight w:val="none"/>
        </w:rPr>
        <w:t>：</w:t>
      </w:r>
    </w:p>
    <w:p>
      <w:pPr>
        <w:pStyle w:val="13"/>
        <w:ind w:left="420" w:firstLine="0" w:firstLineChars="0"/>
        <w:rPr>
          <w:rFonts w:hint="eastAsia"/>
        </w:rPr>
      </w:pPr>
      <w:bookmarkStart w:id="10" w:name="_MON_1559540949"/>
      <w:bookmarkEnd w:id="10"/>
      <w:bookmarkStart w:id="11" w:name="_MON_1559540966"/>
      <w:bookmarkEnd w:id="11"/>
      <w:bookmarkStart w:id="12" w:name="_1613310289"/>
      <w:bookmarkEnd w:id="12"/>
      <w:r>
        <w:object>
          <v:shape id="_x0000_i1026" o:spt="75" type="#_x0000_t75" style="height:48.6pt;width:76.55pt;" o:ole="t" filled="f" stroked="f" coordsize="21600,21600">
            <v:path/>
            <v:fill on="f" focussize="0,0"/>
            <v:stroke on="f"/>
            <v:imagedata r:id="rId6" o:title=""/>
            <o:lock v:ext="edit" aspectratio="t"/>
            <w10:wrap type="none"/>
            <w10:anchorlock/>
          </v:shape>
          <o:OLEObject Type="Embed" ProgID="Word.Document.12" ShapeID="_x0000_i1026" DrawAspect="Icon" ObjectID="_1468075725" r:id="rId5">
            <o:LockedField>false</o:LockedField>
          </o:OLEObject>
        </w:object>
      </w:r>
      <w:bookmarkStart w:id="13" w:name="_1613310318"/>
      <w:bookmarkEnd w:id="13"/>
      <w:r>
        <w:object>
          <v:shape id="_x0000_i1027" o:spt="75" type="#_x0000_t75" style="height:48.6pt;width:76.55pt;" o:ole="t" filled="f" stroked="f" coordsize="21600,21600">
            <v:path/>
            <v:fill on="f" focussize="0,0"/>
            <v:stroke on="f"/>
            <v:imagedata r:id="rId8" o:title=""/>
            <o:lock v:ext="edit" aspectratio="t"/>
            <w10:wrap type="none"/>
            <w10:anchorlock/>
          </v:shape>
          <o:OLEObject Type="Embed" ProgID="Word.Document.12" ShapeID="_x0000_i1027" DrawAspect="Icon" ObjectID="_1468075726" r:id="rId7">
            <o:LockedField>false</o:LockedField>
          </o:OLEObject>
        </w:object>
      </w:r>
      <w:bookmarkStart w:id="14" w:name="_1613310339"/>
      <w:bookmarkEnd w:id="14"/>
      <w:r>
        <w:object>
          <v:shape id="_x0000_i1028" o:spt="75" type="#_x0000_t75" style="height:48.6pt;width:76.55pt;" o:ole="t" filled="f" stroked="f" coordsize="21600,21600">
            <v:path/>
            <v:fill on="f" focussize="0,0"/>
            <v:stroke on="f"/>
            <v:imagedata r:id="rId10" o:title=""/>
            <o:lock v:ext="edit" aspectratio="t"/>
            <w10:wrap type="none"/>
            <w10:anchorlock/>
          </v:shape>
          <o:OLEObject Type="Embed" ProgID="Word.Document.12" ShapeID="_x0000_i1028" DrawAspect="Icon" ObjectID="_1468075727" r:id="rId9">
            <o:LockedField>false</o:LockedField>
          </o:OLEObject>
        </w:object>
      </w:r>
      <w:r>
        <w:object>
          <v:shape id="_x0000_i1029" o:spt="75" type="#_x0000_t75" style="height:48.6pt;width:76.55pt;" o:ole="t" filled="f" stroked="f" coordsize="21600,21600">
            <v:path/>
            <v:fill on="f" focussize="0,0"/>
            <v:stroke on="f"/>
            <v:imagedata r:id="rId12" o:title=""/>
            <o:lock v:ext="edit" aspectratio="t"/>
            <w10:wrap type="none"/>
            <w10:anchorlock/>
          </v:shape>
          <o:OLEObject Type="Embed" ProgID="Package" ShapeID="_x0000_i1029" DrawAspect="Icon" ObjectID="_1468075728" r:id="rId11">
            <o:LockedField>false</o:LockedField>
          </o:OLEObject>
        </w:object>
      </w:r>
    </w:p>
    <w:p>
      <w:pPr>
        <w:pStyle w:val="14"/>
        <w:ind w:left="420" w:firstLine="0" w:firstLineChars="0"/>
        <w:rPr>
          <w:color w:val="auto"/>
          <w:highlight w:val="none"/>
        </w:rPr>
      </w:pPr>
    </w:p>
    <w:p>
      <w:pPr>
        <w:pStyle w:val="3"/>
        <w:numPr>
          <w:ilvl w:val="0"/>
          <w:numId w:val="0"/>
        </w:numPr>
        <w:ind w:left="0" w:firstLine="0"/>
        <w:rPr>
          <w:color w:val="auto"/>
          <w:highlight w:val="none"/>
        </w:rPr>
      </w:pPr>
      <w:bookmarkStart w:id="15" w:name="_Toc475194283"/>
      <w:r>
        <w:rPr>
          <w:rFonts w:hint="eastAsia"/>
          <w:color w:val="auto"/>
          <w:highlight w:val="none"/>
        </w:rPr>
        <w:t>赔偿限额</w:t>
      </w:r>
      <w:bookmarkEnd w:id="8"/>
      <w:bookmarkEnd w:id="15"/>
    </w:p>
    <w:p>
      <w:pPr>
        <w:pStyle w:val="14"/>
        <w:numPr>
          <w:ilvl w:val="0"/>
          <w:numId w:val="6"/>
        </w:numPr>
        <w:ind w:firstLineChars="0"/>
        <w:rPr>
          <w:rFonts w:hint="eastAsia"/>
          <w:color w:val="auto"/>
          <w:highlight w:val="none"/>
        </w:rPr>
      </w:pPr>
      <w:bookmarkStart w:id="16" w:name="_Toc433029135"/>
      <w:r>
        <w:rPr>
          <w:rFonts w:hint="eastAsia"/>
          <w:color w:val="auto"/>
          <w:highlight w:val="none"/>
        </w:rPr>
        <w:t>保单是否有赔偿限额？___B__</w:t>
      </w:r>
      <w:r>
        <w:rPr>
          <w:color w:val="auto"/>
          <w:highlight w:val="none"/>
        </w:rPr>
        <w:t>__A</w:t>
      </w:r>
      <w:r>
        <w:rPr>
          <w:rFonts w:hint="eastAsia"/>
          <w:color w:val="auto"/>
          <w:highlight w:val="none"/>
        </w:rPr>
        <w:t xml:space="preserve">.有  </w:t>
      </w:r>
      <w:r>
        <w:rPr>
          <w:color w:val="auto"/>
          <w:highlight w:val="none"/>
        </w:rPr>
        <w:t>B.</w:t>
      </w:r>
      <w:r>
        <w:rPr>
          <w:rFonts w:hint="eastAsia"/>
          <w:color w:val="auto"/>
          <w:highlight w:val="none"/>
        </w:rPr>
        <w:t>没有</w:t>
      </w:r>
      <w:r>
        <w:rPr>
          <w:color w:val="auto"/>
          <w:highlight w:val="none"/>
        </w:rPr>
        <w:t>。</w:t>
      </w:r>
      <w:r>
        <w:rPr>
          <w:rFonts w:hint="eastAsia"/>
          <w:color w:val="auto"/>
          <w:highlight w:val="none"/>
        </w:rPr>
        <w:t>若</w:t>
      </w:r>
      <w:r>
        <w:rPr>
          <w:color w:val="auto"/>
          <w:highlight w:val="none"/>
        </w:rPr>
        <w:t>有，</w:t>
      </w:r>
      <w:r>
        <w:rPr>
          <w:rFonts w:hint="eastAsia"/>
          <w:color w:val="auto"/>
          <w:highlight w:val="none"/>
        </w:rPr>
        <w:t>请在</w:t>
      </w:r>
      <w:r>
        <w:rPr>
          <w:color w:val="auto"/>
          <w:highlight w:val="none"/>
        </w:rPr>
        <w:t>下表中</w:t>
      </w:r>
      <w:r>
        <w:rPr>
          <w:rFonts w:hint="eastAsia"/>
          <w:color w:val="auto"/>
          <w:highlight w:val="none"/>
        </w:rPr>
        <w:t>说明：（</w:t>
      </w:r>
      <w:r>
        <w:rPr>
          <w:color w:val="auto"/>
          <w:highlight w:val="none"/>
        </w:rPr>
        <w:t>注：若本保险赔</w:t>
      </w:r>
      <w:r>
        <w:rPr>
          <w:rFonts w:hint="eastAsia"/>
          <w:color w:val="auto"/>
          <w:highlight w:val="none"/>
        </w:rPr>
        <w:t>偿</w:t>
      </w:r>
      <w:r>
        <w:rPr>
          <w:color w:val="auto"/>
          <w:highlight w:val="none"/>
        </w:rPr>
        <w:t>限额与保额相同，则不必再提供赔偿限额内容，仅当</w:t>
      </w:r>
      <w:r>
        <w:rPr>
          <w:rFonts w:hint="eastAsia"/>
          <w:color w:val="auto"/>
          <w:highlight w:val="none"/>
        </w:rPr>
        <w:t>有需</w:t>
      </w:r>
      <w:r>
        <w:rPr>
          <w:color w:val="auto"/>
          <w:highlight w:val="none"/>
        </w:rPr>
        <w:t>明确每次、每人、每车……的</w:t>
      </w:r>
      <w:r>
        <w:rPr>
          <w:rFonts w:hint="eastAsia"/>
          <w:color w:val="auto"/>
          <w:highlight w:val="none"/>
        </w:rPr>
        <w:t>赔偿额</w:t>
      </w:r>
      <w:r>
        <w:rPr>
          <w:color w:val="auto"/>
          <w:highlight w:val="none"/>
        </w:rPr>
        <w:t>度</w:t>
      </w:r>
      <w:r>
        <w:rPr>
          <w:rFonts w:hint="eastAsia"/>
          <w:color w:val="auto"/>
          <w:highlight w:val="none"/>
        </w:rPr>
        <w:t>且</w:t>
      </w:r>
      <w:r>
        <w:rPr>
          <w:color w:val="auto"/>
          <w:highlight w:val="none"/>
        </w:rPr>
        <w:t>与保额不同时</w:t>
      </w:r>
      <w:r>
        <w:rPr>
          <w:rFonts w:hint="eastAsia"/>
          <w:color w:val="auto"/>
          <w:highlight w:val="none"/>
        </w:rPr>
        <w:t>再</w:t>
      </w:r>
      <w:r>
        <w:rPr>
          <w:color w:val="auto"/>
          <w:highlight w:val="none"/>
        </w:rPr>
        <w:t>提供</w:t>
      </w:r>
      <w:r>
        <w:rPr>
          <w:rFonts w:hint="eastAsia"/>
          <w:color w:val="auto"/>
          <w:highlight w:val="none"/>
        </w:rPr>
        <w:t>)</w:t>
      </w:r>
    </w:p>
    <w:tbl>
      <w:tblPr>
        <w:tblStyle w:val="11"/>
        <w:tblW w:w="9978" w:type="dxa"/>
        <w:tblInd w:w="0"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
      <w:tblGrid>
        <w:gridCol w:w="1700"/>
        <w:gridCol w:w="2387"/>
        <w:gridCol w:w="1183"/>
        <w:gridCol w:w="1495"/>
        <w:gridCol w:w="1495"/>
        <w:gridCol w:w="1718"/>
      </w:tblGrid>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700" w:type="dxa"/>
            <w:tcBorders>
              <w:bottom w:val="single" w:color="666666" w:sz="12" w:space="0"/>
            </w:tcBorders>
            <w:shd w:val="clear" w:color="auto" w:fill="F2F2F2"/>
            <w:vAlign w:val="center"/>
          </w:tcPr>
          <w:p>
            <w:pPr>
              <w:rPr>
                <w:b/>
                <w:bCs/>
                <w:color w:val="auto"/>
                <w:szCs w:val="22"/>
                <w:highlight w:val="none"/>
              </w:rPr>
            </w:pPr>
            <w:r>
              <w:rPr>
                <w:rFonts w:hint="eastAsia"/>
                <w:b/>
                <w:bCs/>
                <w:color w:val="auto"/>
                <w:szCs w:val="22"/>
                <w:highlight w:val="none"/>
              </w:rPr>
              <w:t>限额</w:t>
            </w:r>
            <w:r>
              <w:rPr>
                <w:b/>
                <w:bCs/>
                <w:color w:val="auto"/>
                <w:szCs w:val="22"/>
                <w:highlight w:val="none"/>
              </w:rPr>
              <w:t>代码</w:t>
            </w:r>
            <w:r>
              <w:rPr>
                <w:rFonts w:hint="eastAsia"/>
                <w:b/>
                <w:bCs/>
                <w:color w:val="auto"/>
                <w:szCs w:val="22"/>
                <w:highlight w:val="none"/>
              </w:rPr>
              <w:t>（由项目组编写）</w:t>
            </w:r>
          </w:p>
        </w:tc>
        <w:tc>
          <w:tcPr>
            <w:tcW w:w="2387" w:type="dxa"/>
            <w:tcBorders>
              <w:bottom w:val="single" w:color="666666" w:sz="12" w:space="0"/>
            </w:tcBorders>
            <w:shd w:val="clear" w:color="auto" w:fill="F2F2F2"/>
            <w:vAlign w:val="center"/>
          </w:tcPr>
          <w:p>
            <w:pPr>
              <w:rPr>
                <w:b/>
                <w:bCs/>
                <w:color w:val="auto"/>
                <w:szCs w:val="22"/>
                <w:highlight w:val="none"/>
              </w:rPr>
            </w:pPr>
            <w:r>
              <w:rPr>
                <w:rFonts w:hint="eastAsia"/>
                <w:b/>
                <w:bCs/>
                <w:color w:val="auto"/>
                <w:szCs w:val="22"/>
                <w:highlight w:val="none"/>
              </w:rPr>
              <w:t>限</w:t>
            </w:r>
            <w:r>
              <w:rPr>
                <w:b/>
                <w:bCs/>
                <w:color w:val="auto"/>
                <w:szCs w:val="22"/>
                <w:highlight w:val="none"/>
              </w:rPr>
              <w:t>额中文名称</w:t>
            </w:r>
          </w:p>
        </w:tc>
        <w:tc>
          <w:tcPr>
            <w:tcW w:w="1183" w:type="dxa"/>
            <w:tcBorders>
              <w:bottom w:val="single" w:color="666666" w:sz="12" w:space="0"/>
            </w:tcBorders>
            <w:shd w:val="clear" w:color="auto" w:fill="F2F2F2"/>
            <w:vAlign w:val="center"/>
          </w:tcPr>
          <w:p>
            <w:pPr>
              <w:rPr>
                <w:b/>
                <w:bCs/>
                <w:color w:val="auto"/>
                <w:szCs w:val="22"/>
                <w:highlight w:val="none"/>
              </w:rPr>
            </w:pPr>
            <w:r>
              <w:rPr>
                <w:rFonts w:hint="eastAsia"/>
                <w:b/>
                <w:bCs/>
                <w:color w:val="auto"/>
                <w:szCs w:val="22"/>
                <w:highlight w:val="none"/>
              </w:rPr>
              <w:t>限</w:t>
            </w:r>
            <w:r>
              <w:rPr>
                <w:b/>
                <w:bCs/>
                <w:color w:val="auto"/>
                <w:szCs w:val="22"/>
                <w:highlight w:val="none"/>
              </w:rPr>
              <w:t>额英文名称</w:t>
            </w:r>
          </w:p>
        </w:tc>
        <w:tc>
          <w:tcPr>
            <w:tcW w:w="1495" w:type="dxa"/>
            <w:tcBorders>
              <w:bottom w:val="single" w:color="666666" w:sz="12" w:space="0"/>
            </w:tcBorders>
            <w:shd w:val="clear" w:color="auto" w:fill="F2F2F2"/>
            <w:vAlign w:val="center"/>
          </w:tcPr>
          <w:p>
            <w:pPr>
              <w:rPr>
                <w:b/>
                <w:bCs/>
                <w:color w:val="auto"/>
                <w:szCs w:val="22"/>
                <w:highlight w:val="none"/>
              </w:rPr>
            </w:pPr>
            <w:r>
              <w:rPr>
                <w:rFonts w:hint="eastAsia"/>
                <w:b/>
                <w:bCs/>
                <w:color w:val="auto"/>
                <w:szCs w:val="22"/>
                <w:highlight w:val="none"/>
              </w:rPr>
              <w:t>限</w:t>
            </w:r>
            <w:r>
              <w:rPr>
                <w:b/>
                <w:bCs/>
                <w:color w:val="auto"/>
                <w:szCs w:val="22"/>
                <w:highlight w:val="none"/>
              </w:rPr>
              <w:t>额类型</w:t>
            </w:r>
          </w:p>
        </w:tc>
        <w:tc>
          <w:tcPr>
            <w:tcW w:w="1495" w:type="dxa"/>
            <w:tcBorders>
              <w:bottom w:val="single" w:color="666666" w:sz="12" w:space="0"/>
            </w:tcBorders>
            <w:shd w:val="clear" w:color="auto" w:fill="F2F2F2"/>
            <w:vAlign w:val="center"/>
          </w:tcPr>
          <w:p>
            <w:pPr>
              <w:rPr>
                <w:b/>
                <w:bCs/>
                <w:color w:val="auto"/>
                <w:szCs w:val="22"/>
                <w:highlight w:val="none"/>
              </w:rPr>
            </w:pPr>
            <w:r>
              <w:rPr>
                <w:rFonts w:hint="eastAsia"/>
                <w:b/>
                <w:bCs/>
                <w:color w:val="auto"/>
                <w:szCs w:val="22"/>
                <w:highlight w:val="none"/>
              </w:rPr>
              <w:t>限额</w:t>
            </w:r>
            <w:r>
              <w:rPr>
                <w:b/>
                <w:bCs/>
                <w:color w:val="auto"/>
                <w:szCs w:val="22"/>
                <w:highlight w:val="none"/>
              </w:rPr>
              <w:t>数值</w:t>
            </w:r>
            <w:r>
              <w:rPr>
                <w:rFonts w:hint="eastAsia"/>
                <w:b/>
                <w:bCs/>
                <w:color w:val="auto"/>
                <w:szCs w:val="22"/>
                <w:highlight w:val="none"/>
              </w:rPr>
              <w:t>(元)</w:t>
            </w:r>
          </w:p>
        </w:tc>
        <w:tc>
          <w:tcPr>
            <w:tcW w:w="1718" w:type="dxa"/>
            <w:tcBorders>
              <w:bottom w:val="single" w:color="666666" w:sz="12" w:space="0"/>
            </w:tcBorders>
            <w:shd w:val="clear" w:color="auto" w:fill="F2F2F2"/>
            <w:vAlign w:val="center"/>
          </w:tcPr>
          <w:p>
            <w:pPr>
              <w:rPr>
                <w:b/>
                <w:bCs/>
                <w:color w:val="auto"/>
                <w:szCs w:val="22"/>
                <w:highlight w:val="none"/>
              </w:rPr>
            </w:pPr>
            <w:r>
              <w:rPr>
                <w:b/>
                <w:bCs/>
                <w:color w:val="auto"/>
                <w:szCs w:val="22"/>
                <w:highlight w:val="none"/>
              </w:rPr>
              <w:t>适用层级（保单/险别）</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329" w:hRule="atLeast"/>
        </w:trPr>
        <w:tc>
          <w:tcPr>
            <w:tcW w:w="1700" w:type="dxa"/>
            <w:vAlign w:val="center"/>
          </w:tcPr>
          <w:p>
            <w:pPr>
              <w:rPr>
                <w:color w:val="auto"/>
                <w:szCs w:val="22"/>
                <w:highlight w:val="none"/>
              </w:rPr>
            </w:pPr>
          </w:p>
        </w:tc>
        <w:tc>
          <w:tcPr>
            <w:tcW w:w="2387" w:type="dxa"/>
            <w:vAlign w:val="center"/>
          </w:tcPr>
          <w:p>
            <w:pPr>
              <w:rPr>
                <w:color w:val="auto"/>
                <w:szCs w:val="22"/>
                <w:highlight w:val="none"/>
              </w:rPr>
            </w:pPr>
          </w:p>
        </w:tc>
        <w:tc>
          <w:tcPr>
            <w:tcW w:w="1183" w:type="dxa"/>
            <w:vAlign w:val="center"/>
          </w:tcPr>
          <w:p>
            <w:pPr>
              <w:rPr>
                <w:color w:val="auto"/>
                <w:szCs w:val="22"/>
                <w:highlight w:val="none"/>
              </w:rPr>
            </w:pPr>
          </w:p>
        </w:tc>
        <w:tc>
          <w:tcPr>
            <w:tcW w:w="1495" w:type="dxa"/>
            <w:vAlign w:val="center"/>
          </w:tcPr>
          <w:p>
            <w:pPr>
              <w:rPr>
                <w:color w:val="auto"/>
                <w:szCs w:val="22"/>
                <w:highlight w:val="none"/>
              </w:rPr>
            </w:pPr>
          </w:p>
        </w:tc>
        <w:tc>
          <w:tcPr>
            <w:tcW w:w="1495" w:type="dxa"/>
            <w:vAlign w:val="center"/>
          </w:tcPr>
          <w:p>
            <w:pPr>
              <w:rPr>
                <w:color w:val="auto"/>
                <w:szCs w:val="22"/>
                <w:highlight w:val="none"/>
              </w:rPr>
            </w:pPr>
          </w:p>
        </w:tc>
        <w:tc>
          <w:tcPr>
            <w:tcW w:w="1718" w:type="dxa"/>
            <w:vAlign w:val="center"/>
          </w:tcPr>
          <w:p>
            <w:pPr>
              <w:rPr>
                <w:color w:val="auto"/>
                <w:szCs w:val="22"/>
                <w:highlight w:val="none"/>
              </w:rPr>
            </w:pPr>
          </w:p>
        </w:tc>
      </w:tr>
    </w:tbl>
    <w:p>
      <w:pPr>
        <w:pStyle w:val="14"/>
        <w:ind w:left="420" w:firstLine="0" w:firstLineChars="0"/>
        <w:rPr>
          <w:color w:val="auto"/>
          <w:highlight w:val="none"/>
        </w:rPr>
      </w:pPr>
    </w:p>
    <w:p>
      <w:pPr>
        <w:pStyle w:val="3"/>
        <w:numPr>
          <w:ilvl w:val="0"/>
          <w:numId w:val="0"/>
        </w:numPr>
        <w:ind w:left="0" w:firstLine="0"/>
        <w:rPr>
          <w:color w:val="auto"/>
          <w:highlight w:val="none"/>
        </w:rPr>
      </w:pPr>
      <w:bookmarkStart w:id="17" w:name="_Toc475194284"/>
      <w:r>
        <w:rPr>
          <w:rFonts w:hint="eastAsia"/>
          <w:color w:val="auto"/>
          <w:highlight w:val="none"/>
        </w:rPr>
        <w:t>免赔额/免赔率</w:t>
      </w:r>
      <w:bookmarkEnd w:id="16"/>
      <w:bookmarkEnd w:id="17"/>
    </w:p>
    <w:p>
      <w:pPr>
        <w:pStyle w:val="14"/>
        <w:numPr>
          <w:ilvl w:val="0"/>
          <w:numId w:val="7"/>
        </w:numPr>
        <w:tabs>
          <w:tab w:val="left" w:pos="426"/>
          <w:tab w:val="clear" w:pos="720"/>
        </w:tabs>
        <w:ind w:firstLineChars="0"/>
        <w:rPr>
          <w:rFonts w:hint="eastAsia"/>
          <w:color w:val="auto"/>
          <w:highlight w:val="none"/>
          <w:u w:val="single"/>
        </w:rPr>
      </w:pPr>
      <w:bookmarkStart w:id="18" w:name="_Toc433029136"/>
      <w:r>
        <w:rPr>
          <w:rFonts w:hint="eastAsia"/>
          <w:color w:val="auto"/>
          <w:highlight w:val="none"/>
        </w:rPr>
        <w:t>保单是否有免赔额、免赔率？__A</w:t>
      </w:r>
      <w:r>
        <w:rPr>
          <w:color w:val="auto"/>
          <w:highlight w:val="none"/>
        </w:rPr>
        <w:t>_</w:t>
      </w:r>
      <w:r>
        <w:rPr>
          <w:rFonts w:hint="eastAsia"/>
          <w:color w:val="auto"/>
          <w:highlight w:val="none"/>
        </w:rPr>
        <w:t>__</w:t>
      </w:r>
      <w:r>
        <w:rPr>
          <w:color w:val="auto"/>
          <w:highlight w:val="none"/>
        </w:rPr>
        <w:t>__A</w:t>
      </w:r>
      <w:r>
        <w:rPr>
          <w:rFonts w:hint="eastAsia"/>
          <w:color w:val="auto"/>
          <w:highlight w:val="none"/>
        </w:rPr>
        <w:t xml:space="preserve">.有  </w:t>
      </w:r>
      <w:r>
        <w:rPr>
          <w:color w:val="auto"/>
          <w:highlight w:val="none"/>
        </w:rPr>
        <w:t>B.</w:t>
      </w:r>
      <w:r>
        <w:rPr>
          <w:rFonts w:hint="eastAsia"/>
          <w:color w:val="auto"/>
          <w:highlight w:val="none"/>
        </w:rPr>
        <w:t>没有</w:t>
      </w:r>
      <w:r>
        <w:rPr>
          <w:color w:val="auto"/>
          <w:highlight w:val="none"/>
        </w:rPr>
        <w:t>。</w:t>
      </w:r>
      <w:r>
        <w:rPr>
          <w:rFonts w:hint="eastAsia"/>
          <w:color w:val="auto"/>
          <w:highlight w:val="none"/>
        </w:rPr>
        <w:t>若</w:t>
      </w:r>
      <w:r>
        <w:rPr>
          <w:color w:val="auto"/>
          <w:highlight w:val="none"/>
        </w:rPr>
        <w:t>有，</w:t>
      </w:r>
      <w:r>
        <w:rPr>
          <w:rFonts w:hint="eastAsia"/>
          <w:color w:val="auto"/>
          <w:highlight w:val="none"/>
        </w:rPr>
        <w:t>请在</w:t>
      </w:r>
      <w:r>
        <w:rPr>
          <w:color w:val="auto"/>
          <w:highlight w:val="none"/>
        </w:rPr>
        <w:t>下表中</w:t>
      </w:r>
      <w:r>
        <w:rPr>
          <w:rFonts w:hint="eastAsia"/>
          <w:color w:val="auto"/>
          <w:highlight w:val="none"/>
        </w:rPr>
        <w:t>说明：</w:t>
      </w:r>
    </w:p>
    <w:tbl>
      <w:tblPr>
        <w:tblStyle w:val="11"/>
        <w:tblW w:w="8358" w:type="dxa"/>
        <w:tblInd w:w="0"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
      <w:tblGrid>
        <w:gridCol w:w="1413"/>
        <w:gridCol w:w="1843"/>
        <w:gridCol w:w="1105"/>
        <w:gridCol w:w="992"/>
        <w:gridCol w:w="992"/>
        <w:gridCol w:w="2013"/>
      </w:tblGrid>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413" w:type="dxa"/>
            <w:tcBorders>
              <w:bottom w:val="single" w:color="666666" w:sz="12" w:space="0"/>
            </w:tcBorders>
            <w:shd w:val="clear" w:color="auto" w:fill="BCE1C0"/>
            <w:vAlign w:val="top"/>
          </w:tcPr>
          <w:p>
            <w:pPr>
              <w:rPr>
                <w:b/>
                <w:bCs/>
                <w:szCs w:val="22"/>
              </w:rPr>
            </w:pPr>
            <w:r>
              <w:rPr>
                <w:rFonts w:hint="eastAsia"/>
                <w:b/>
                <w:bCs/>
                <w:szCs w:val="22"/>
              </w:rPr>
              <w:t>免赔</w:t>
            </w:r>
            <w:r>
              <w:rPr>
                <w:b/>
                <w:bCs/>
                <w:szCs w:val="22"/>
              </w:rPr>
              <w:t>代码</w:t>
            </w:r>
            <w:r>
              <w:rPr>
                <w:rFonts w:hint="eastAsia"/>
                <w:b/>
                <w:bCs/>
                <w:szCs w:val="22"/>
              </w:rPr>
              <w:t>（由项目组编写）</w:t>
            </w:r>
          </w:p>
        </w:tc>
        <w:tc>
          <w:tcPr>
            <w:tcW w:w="1843" w:type="dxa"/>
            <w:tcBorders>
              <w:bottom w:val="single" w:color="666666" w:sz="12" w:space="0"/>
            </w:tcBorders>
            <w:shd w:val="clear" w:color="auto" w:fill="BCE1C0"/>
            <w:vAlign w:val="top"/>
          </w:tcPr>
          <w:p>
            <w:pPr>
              <w:rPr>
                <w:b/>
                <w:bCs/>
                <w:szCs w:val="22"/>
              </w:rPr>
            </w:pPr>
            <w:r>
              <w:rPr>
                <w:rFonts w:hint="eastAsia"/>
                <w:b/>
                <w:bCs/>
                <w:szCs w:val="22"/>
              </w:rPr>
              <w:t>免赔</w:t>
            </w:r>
            <w:r>
              <w:rPr>
                <w:b/>
                <w:bCs/>
                <w:szCs w:val="22"/>
              </w:rPr>
              <w:t>额中文名称</w:t>
            </w:r>
          </w:p>
        </w:tc>
        <w:tc>
          <w:tcPr>
            <w:tcW w:w="1105" w:type="dxa"/>
            <w:tcBorders>
              <w:bottom w:val="single" w:color="666666" w:sz="12" w:space="0"/>
            </w:tcBorders>
            <w:shd w:val="clear" w:color="auto" w:fill="BCE1C0"/>
            <w:vAlign w:val="top"/>
          </w:tcPr>
          <w:p>
            <w:pPr>
              <w:rPr>
                <w:b/>
                <w:bCs/>
                <w:szCs w:val="22"/>
              </w:rPr>
            </w:pPr>
            <w:r>
              <w:rPr>
                <w:rFonts w:hint="eastAsia"/>
                <w:b/>
                <w:bCs/>
                <w:szCs w:val="22"/>
              </w:rPr>
              <w:t>免赔</w:t>
            </w:r>
            <w:r>
              <w:rPr>
                <w:b/>
                <w:bCs/>
                <w:szCs w:val="22"/>
              </w:rPr>
              <w:t>额英文名称</w:t>
            </w:r>
          </w:p>
        </w:tc>
        <w:tc>
          <w:tcPr>
            <w:tcW w:w="992" w:type="dxa"/>
            <w:tcBorders>
              <w:bottom w:val="single" w:color="666666" w:sz="12" w:space="0"/>
            </w:tcBorders>
            <w:shd w:val="clear" w:color="auto" w:fill="BCE1C0"/>
            <w:vAlign w:val="top"/>
          </w:tcPr>
          <w:p>
            <w:pPr>
              <w:rPr>
                <w:b/>
                <w:bCs/>
                <w:szCs w:val="22"/>
              </w:rPr>
            </w:pPr>
            <w:r>
              <w:rPr>
                <w:rFonts w:hint="eastAsia"/>
                <w:b/>
                <w:bCs/>
                <w:szCs w:val="22"/>
              </w:rPr>
              <w:t>免赔</w:t>
            </w:r>
            <w:r>
              <w:rPr>
                <w:b/>
                <w:bCs/>
                <w:szCs w:val="22"/>
              </w:rPr>
              <w:t>额类型</w:t>
            </w:r>
          </w:p>
        </w:tc>
        <w:tc>
          <w:tcPr>
            <w:tcW w:w="992" w:type="dxa"/>
            <w:tcBorders>
              <w:bottom w:val="single" w:color="666666" w:sz="12" w:space="0"/>
            </w:tcBorders>
            <w:shd w:val="clear" w:color="auto" w:fill="BCE1C0"/>
            <w:vAlign w:val="top"/>
          </w:tcPr>
          <w:p>
            <w:pPr>
              <w:rPr>
                <w:b/>
                <w:bCs/>
                <w:szCs w:val="22"/>
              </w:rPr>
            </w:pPr>
            <w:r>
              <w:rPr>
                <w:rFonts w:hint="eastAsia"/>
                <w:b/>
                <w:bCs/>
                <w:szCs w:val="22"/>
              </w:rPr>
              <w:t>免赔</w:t>
            </w:r>
            <w:r>
              <w:rPr>
                <w:b/>
                <w:bCs/>
                <w:szCs w:val="22"/>
              </w:rPr>
              <w:t>数值</w:t>
            </w:r>
            <w:r>
              <w:rPr>
                <w:rFonts w:hint="eastAsia"/>
                <w:b/>
                <w:bCs/>
                <w:szCs w:val="22"/>
              </w:rPr>
              <w:t>（元</w:t>
            </w:r>
            <w:r>
              <w:rPr>
                <w:b/>
                <w:bCs/>
                <w:szCs w:val="22"/>
              </w:rPr>
              <w:t>）</w:t>
            </w:r>
          </w:p>
        </w:tc>
        <w:tc>
          <w:tcPr>
            <w:tcW w:w="2013" w:type="dxa"/>
            <w:tcBorders>
              <w:bottom w:val="single" w:color="666666" w:sz="12" w:space="0"/>
            </w:tcBorders>
            <w:shd w:val="clear" w:color="auto" w:fill="BCE1C0"/>
            <w:vAlign w:val="top"/>
          </w:tcPr>
          <w:p>
            <w:pPr>
              <w:rPr>
                <w:b/>
                <w:bCs/>
                <w:szCs w:val="22"/>
              </w:rPr>
            </w:pPr>
            <w:r>
              <w:rPr>
                <w:b/>
                <w:bCs/>
                <w:szCs w:val="22"/>
              </w:rPr>
              <w:t>适用层级（保单/险别）</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329" w:hRule="atLeast"/>
        </w:trPr>
        <w:tc>
          <w:tcPr>
            <w:tcW w:w="8358" w:type="dxa"/>
            <w:gridSpan w:val="6"/>
            <w:shd w:val="clear" w:color="auto" w:fill="F2F2F2"/>
            <w:vAlign w:val="top"/>
          </w:tcPr>
          <w:p>
            <w:pPr>
              <w:rPr>
                <w:rFonts w:hint="eastAsia"/>
                <w:b/>
              </w:rPr>
            </w:pPr>
            <w:r>
              <w:rPr>
                <w:rFonts w:hint="eastAsia"/>
                <w:b/>
                <w:szCs w:val="20"/>
              </w:rPr>
              <w:t>住院保</w:t>
            </w:r>
            <w:r>
              <w:rPr>
                <w:rFonts w:hint="eastAsia" w:ascii="宋体" w:hAnsi="宋体"/>
                <w:sz w:val="21"/>
                <w:highlight w:val="yellow"/>
                <w:lang w:val="zh-CN"/>
              </w:rPr>
              <w:t>幼</w:t>
            </w:r>
            <w:r>
              <w:rPr>
                <w:rFonts w:hint="eastAsia"/>
                <w:b/>
                <w:szCs w:val="20"/>
              </w:rPr>
              <w:t>儿版</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329" w:hRule="atLeast"/>
        </w:trPr>
        <w:tc>
          <w:tcPr>
            <w:tcW w:w="1413" w:type="dxa"/>
            <w:shd w:val="clear" w:color="auto" w:fill="FFFFFF"/>
            <w:vAlign w:val="top"/>
          </w:tcPr>
          <w:p>
            <w:pPr>
              <w:rPr>
                <w:rFonts w:hint="eastAsia"/>
                <w:b/>
              </w:rPr>
            </w:pPr>
            <w:r>
              <w:rPr>
                <w:rFonts w:ascii="宋体" w:hAnsi="宋体" w:eastAsia="宋体" w:cs="宋体"/>
                <w:sz w:val="18"/>
                <w:szCs w:val="18"/>
              </w:rPr>
              <w:fldChar w:fldCharType="begin"/>
            </w:r>
            <w:r>
              <w:rPr>
                <w:rFonts w:ascii="宋体" w:hAnsi="宋体" w:eastAsia="宋体" w:cs="宋体"/>
                <w:sz w:val="18"/>
                <w:szCs w:val="18"/>
              </w:rPr>
              <w:instrText xml:space="preserve"> HYPERLINK "http://10.130.201.36:7001/platform/processGgRiskDeductible.do?actionType=view&amp;ggRiskDeductibleRiskCode=1307&amp;ggRiskDeductibleDeductibleLevel=2&amp;ggRiskDeductibleDeductibleNo=13" </w:instrText>
            </w:r>
            <w:r>
              <w:rPr>
                <w:rFonts w:ascii="宋体" w:hAnsi="宋体" w:eastAsia="宋体" w:cs="宋体"/>
                <w:sz w:val="18"/>
                <w:szCs w:val="18"/>
              </w:rPr>
              <w:fldChar w:fldCharType="separate"/>
            </w:r>
            <w:r>
              <w:rPr>
                <w:rStyle w:val="9"/>
                <w:rFonts w:ascii="宋体" w:hAnsi="宋体" w:eastAsia="宋体" w:cs="宋体"/>
                <w:sz w:val="18"/>
                <w:szCs w:val="18"/>
              </w:rPr>
              <w:t>L087</w:t>
            </w:r>
            <w:r>
              <w:rPr>
                <w:rFonts w:ascii="宋体" w:hAnsi="宋体" w:eastAsia="宋体" w:cs="宋体"/>
                <w:sz w:val="18"/>
                <w:szCs w:val="18"/>
              </w:rPr>
              <w:fldChar w:fldCharType="end"/>
            </w:r>
          </w:p>
        </w:tc>
        <w:tc>
          <w:tcPr>
            <w:tcW w:w="1843" w:type="dxa"/>
            <w:shd w:val="clear" w:color="auto" w:fill="FFFFFF"/>
            <w:vAlign w:val="top"/>
          </w:tcPr>
          <w:p>
            <w:r>
              <w:rPr>
                <w:rFonts w:ascii="宋体" w:hAnsi="宋体" w:eastAsia="宋体" w:cs="宋体"/>
                <w:sz w:val="18"/>
                <w:szCs w:val="18"/>
              </w:rPr>
              <w:t>附加意外伤害医疗保险每次事故医疗费用绝对免赔额</w:t>
            </w:r>
          </w:p>
        </w:tc>
        <w:tc>
          <w:tcPr>
            <w:tcW w:w="1105" w:type="dxa"/>
            <w:shd w:val="clear" w:color="auto" w:fill="FFFFFF"/>
            <w:vAlign w:val="top"/>
          </w:tcPr>
          <w:p/>
        </w:tc>
        <w:tc>
          <w:tcPr>
            <w:tcW w:w="992" w:type="dxa"/>
            <w:shd w:val="clear" w:color="auto" w:fill="FFFFFF"/>
            <w:vAlign w:val="top"/>
          </w:tcPr>
          <w:p>
            <w:r>
              <w:rPr>
                <w:rFonts w:hint="eastAsia"/>
                <w:szCs w:val="22"/>
              </w:rPr>
              <w:t>金额</w:t>
            </w:r>
          </w:p>
        </w:tc>
        <w:tc>
          <w:tcPr>
            <w:tcW w:w="992" w:type="dxa"/>
            <w:shd w:val="clear" w:color="auto" w:fill="FFFFFF"/>
            <w:vAlign w:val="top"/>
          </w:tcPr>
          <w:p>
            <w:r>
              <w:rPr>
                <w:rFonts w:hint="eastAsia"/>
                <w:szCs w:val="22"/>
              </w:rPr>
              <w:t>100元</w:t>
            </w:r>
          </w:p>
        </w:tc>
        <w:tc>
          <w:tcPr>
            <w:tcW w:w="2013" w:type="dxa"/>
            <w:shd w:val="clear" w:color="auto" w:fill="FFFFFF"/>
            <w:vAlign w:val="top"/>
          </w:tcPr>
          <w:p>
            <w:r>
              <w:rPr>
                <w:rFonts w:hint="eastAsia"/>
                <w:szCs w:val="22"/>
              </w:rPr>
              <w:t>险别（</w:t>
            </w:r>
            <w:r>
              <w:rPr>
                <w:szCs w:val="22"/>
              </w:rPr>
              <w:t>1122032-附加意外伤害医疗保险</w:t>
            </w:r>
            <w:r>
              <w:rPr>
                <w:rFonts w:hint="eastAsia"/>
                <w:szCs w:val="22"/>
              </w:rPr>
              <w:t>）</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329" w:hRule="atLeast"/>
        </w:trPr>
        <w:tc>
          <w:tcPr>
            <w:tcW w:w="1413" w:type="dxa"/>
            <w:shd w:val="clear" w:color="auto" w:fill="FFFFFF"/>
            <w:vAlign w:val="top"/>
          </w:tcPr>
          <w:p>
            <w:pPr>
              <w:rPr>
                <w:rFonts w:hint="eastAsia"/>
                <w:b/>
              </w:rPr>
            </w:pPr>
            <w:r>
              <w:rPr>
                <w:rFonts w:cs="宋体"/>
                <w:sz w:val="18"/>
                <w:szCs w:val="18"/>
              </w:rPr>
              <w:t>B003</w:t>
            </w:r>
          </w:p>
        </w:tc>
        <w:tc>
          <w:tcPr>
            <w:tcW w:w="1843" w:type="dxa"/>
            <w:shd w:val="clear" w:color="auto" w:fill="FFFFFF"/>
            <w:vAlign w:val="top"/>
          </w:tcPr>
          <w:p>
            <w:r>
              <w:rPr>
                <w:rFonts w:hint="eastAsia" w:ascii="宋体" w:hAnsi="宋体"/>
                <w:sz w:val="21"/>
                <w:lang w:val="zh-CN"/>
              </w:rPr>
              <w:t>疾病住院医疗保险责任每次事故绝对免赔额</w:t>
            </w:r>
          </w:p>
        </w:tc>
        <w:tc>
          <w:tcPr>
            <w:tcW w:w="1105" w:type="dxa"/>
            <w:shd w:val="clear" w:color="auto" w:fill="FFFFFF"/>
            <w:vAlign w:val="top"/>
          </w:tcPr>
          <w:p/>
        </w:tc>
        <w:tc>
          <w:tcPr>
            <w:tcW w:w="992" w:type="dxa"/>
            <w:shd w:val="clear" w:color="auto" w:fill="FFFFFF"/>
            <w:vAlign w:val="top"/>
          </w:tcPr>
          <w:p>
            <w:r>
              <w:rPr>
                <w:rFonts w:hint="eastAsia"/>
                <w:szCs w:val="22"/>
              </w:rPr>
              <w:t>金额</w:t>
            </w:r>
          </w:p>
        </w:tc>
        <w:tc>
          <w:tcPr>
            <w:tcW w:w="992" w:type="dxa"/>
            <w:shd w:val="clear" w:color="auto" w:fill="FFFFFF"/>
            <w:vAlign w:val="top"/>
          </w:tcPr>
          <w:p>
            <w:r>
              <w:rPr>
                <w:rFonts w:hint="eastAsia"/>
                <w:szCs w:val="22"/>
              </w:rPr>
              <w:t>500元</w:t>
            </w:r>
          </w:p>
        </w:tc>
        <w:tc>
          <w:tcPr>
            <w:tcW w:w="2013" w:type="dxa"/>
            <w:shd w:val="clear" w:color="auto" w:fill="FFFFFF"/>
            <w:vAlign w:val="top"/>
          </w:tcPr>
          <w:p>
            <w:r>
              <w:rPr>
                <w:rFonts w:hint="eastAsia"/>
                <w:szCs w:val="22"/>
              </w:rPr>
              <w:t>险别（</w:t>
            </w:r>
            <w:r>
              <w:rPr>
                <w:szCs w:val="22"/>
              </w:rPr>
              <w:t>100019-</w:t>
            </w:r>
            <w:r>
              <w:rPr>
                <w:rFonts w:hint="eastAsia"/>
                <w:szCs w:val="20"/>
              </w:rPr>
              <w:t>疾病住院医疗保险</w:t>
            </w:r>
            <w:r>
              <w:rPr>
                <w:rFonts w:hint="eastAsia"/>
                <w:szCs w:val="22"/>
              </w:rPr>
              <w:t>）</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329" w:hRule="atLeast"/>
        </w:trPr>
        <w:tc>
          <w:tcPr>
            <w:tcW w:w="8358" w:type="dxa"/>
            <w:gridSpan w:val="6"/>
            <w:shd w:val="clear" w:color="auto" w:fill="F2F2F2"/>
            <w:vAlign w:val="top"/>
          </w:tcPr>
          <w:p>
            <w:pPr>
              <w:rPr>
                <w:b/>
                <w:szCs w:val="22"/>
              </w:rPr>
            </w:pPr>
            <w:r>
              <w:rPr>
                <w:rFonts w:hint="eastAsia"/>
                <w:b/>
              </w:rPr>
              <w:t>住院保成人版</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329" w:hRule="atLeast"/>
        </w:trPr>
        <w:tc>
          <w:tcPr>
            <w:tcW w:w="1413" w:type="dxa"/>
            <w:vAlign w:val="top"/>
          </w:tcPr>
          <w:p>
            <w:pPr>
              <w:rPr>
                <w:szCs w:val="22"/>
              </w:rPr>
            </w:pPr>
            <w:r>
              <w:rPr>
                <w:rFonts w:ascii="宋体" w:hAnsi="宋体" w:eastAsia="宋体" w:cs="宋体"/>
                <w:sz w:val="18"/>
                <w:szCs w:val="18"/>
              </w:rPr>
              <w:fldChar w:fldCharType="begin"/>
            </w:r>
            <w:r>
              <w:rPr>
                <w:rFonts w:ascii="宋体" w:hAnsi="宋体" w:eastAsia="宋体" w:cs="宋体"/>
                <w:sz w:val="18"/>
                <w:szCs w:val="18"/>
              </w:rPr>
              <w:instrText xml:space="preserve"> HYPERLINK "http://10.130.201.36:7001/platform/processGgRiskDeductible.do?actionType=view&amp;ggRiskDeductibleRiskCode=1307&amp;ggRiskDeductibleDeductibleLevel=2&amp;ggRiskDeductibleDeductibleNo=13" </w:instrText>
            </w:r>
            <w:r>
              <w:rPr>
                <w:rFonts w:ascii="宋体" w:hAnsi="宋体" w:eastAsia="宋体" w:cs="宋体"/>
                <w:sz w:val="18"/>
                <w:szCs w:val="18"/>
              </w:rPr>
              <w:fldChar w:fldCharType="separate"/>
            </w:r>
            <w:r>
              <w:rPr>
                <w:rStyle w:val="9"/>
                <w:rFonts w:ascii="宋体" w:hAnsi="宋体" w:eastAsia="宋体" w:cs="宋体"/>
                <w:sz w:val="18"/>
                <w:szCs w:val="18"/>
              </w:rPr>
              <w:t>L087</w:t>
            </w:r>
            <w:r>
              <w:rPr>
                <w:rFonts w:ascii="宋体" w:hAnsi="宋体" w:eastAsia="宋体" w:cs="宋体"/>
                <w:sz w:val="18"/>
                <w:szCs w:val="18"/>
              </w:rPr>
              <w:fldChar w:fldCharType="end"/>
            </w:r>
          </w:p>
        </w:tc>
        <w:tc>
          <w:tcPr>
            <w:tcW w:w="1843" w:type="dxa"/>
            <w:vAlign w:val="top"/>
          </w:tcPr>
          <w:p>
            <w:pPr>
              <w:rPr>
                <w:szCs w:val="22"/>
              </w:rPr>
            </w:pPr>
            <w:r>
              <w:rPr>
                <w:rFonts w:hint="eastAsia"/>
              </w:rPr>
              <w:t>意外伤害医疗保险</w:t>
            </w:r>
            <w:r>
              <w:rPr>
                <w:rFonts w:cs="宋体"/>
                <w:sz w:val="18"/>
                <w:szCs w:val="18"/>
              </w:rPr>
              <w:t>免赔额</w:t>
            </w:r>
          </w:p>
        </w:tc>
        <w:tc>
          <w:tcPr>
            <w:tcW w:w="1105" w:type="dxa"/>
            <w:vAlign w:val="top"/>
          </w:tcPr>
          <w:p>
            <w:pPr>
              <w:rPr>
                <w:szCs w:val="22"/>
              </w:rPr>
            </w:pPr>
          </w:p>
        </w:tc>
        <w:tc>
          <w:tcPr>
            <w:tcW w:w="992" w:type="dxa"/>
            <w:vAlign w:val="top"/>
          </w:tcPr>
          <w:p>
            <w:pPr>
              <w:rPr>
                <w:szCs w:val="22"/>
              </w:rPr>
            </w:pPr>
            <w:r>
              <w:rPr>
                <w:rFonts w:hint="eastAsia"/>
                <w:szCs w:val="22"/>
              </w:rPr>
              <w:t>金额</w:t>
            </w:r>
          </w:p>
        </w:tc>
        <w:tc>
          <w:tcPr>
            <w:tcW w:w="992" w:type="dxa"/>
            <w:vAlign w:val="top"/>
          </w:tcPr>
          <w:p>
            <w:pPr>
              <w:rPr>
                <w:szCs w:val="22"/>
              </w:rPr>
            </w:pPr>
            <w:r>
              <w:rPr>
                <w:rFonts w:hint="eastAsia"/>
                <w:szCs w:val="22"/>
              </w:rPr>
              <w:t>100元</w:t>
            </w:r>
          </w:p>
        </w:tc>
        <w:tc>
          <w:tcPr>
            <w:tcW w:w="2013" w:type="dxa"/>
            <w:vAlign w:val="top"/>
          </w:tcPr>
          <w:p>
            <w:pPr>
              <w:rPr>
                <w:szCs w:val="22"/>
              </w:rPr>
            </w:pPr>
            <w:r>
              <w:rPr>
                <w:rFonts w:hint="eastAsia"/>
                <w:szCs w:val="22"/>
              </w:rPr>
              <w:t>险别（</w:t>
            </w:r>
            <w:r>
              <w:rPr>
                <w:szCs w:val="22"/>
              </w:rPr>
              <w:t>1122032-附加意外伤害医疗保险</w:t>
            </w:r>
            <w:r>
              <w:rPr>
                <w:rFonts w:hint="eastAsia"/>
                <w:szCs w:val="22"/>
              </w:rPr>
              <w:t>）</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35" w:hRule="atLeast"/>
        </w:trPr>
        <w:tc>
          <w:tcPr>
            <w:tcW w:w="1413" w:type="dxa"/>
            <w:vAlign w:val="top"/>
          </w:tcPr>
          <w:p>
            <w:pPr>
              <w:rPr>
                <w:rFonts w:hint="eastAsia"/>
                <w:szCs w:val="22"/>
              </w:rPr>
            </w:pPr>
            <w:r>
              <w:rPr>
                <w:rFonts w:cs="宋体"/>
                <w:sz w:val="18"/>
                <w:szCs w:val="18"/>
              </w:rPr>
              <w:t>B00</w:t>
            </w:r>
            <w:r>
              <w:rPr>
                <w:rFonts w:hint="eastAsia" w:cs="宋体"/>
                <w:sz w:val="18"/>
                <w:szCs w:val="18"/>
              </w:rPr>
              <w:t>1</w:t>
            </w:r>
          </w:p>
        </w:tc>
        <w:tc>
          <w:tcPr>
            <w:tcW w:w="1843" w:type="dxa"/>
            <w:vAlign w:val="top"/>
          </w:tcPr>
          <w:p>
            <w:pPr>
              <w:rPr>
                <w:szCs w:val="22"/>
              </w:rPr>
            </w:pPr>
            <w:r>
              <w:t>每次</w:t>
            </w:r>
            <w:r>
              <w:rPr>
                <w:rFonts w:hint="eastAsia"/>
              </w:rPr>
              <w:t>疾病</w:t>
            </w:r>
            <w:r>
              <w:rPr>
                <w:rFonts w:hint="eastAsia"/>
                <w:szCs w:val="22"/>
              </w:rPr>
              <w:t>住院医疗免赔</w:t>
            </w:r>
          </w:p>
        </w:tc>
        <w:tc>
          <w:tcPr>
            <w:tcW w:w="1105" w:type="dxa"/>
            <w:vAlign w:val="top"/>
          </w:tcPr>
          <w:p>
            <w:pPr>
              <w:rPr>
                <w:szCs w:val="22"/>
              </w:rPr>
            </w:pPr>
          </w:p>
        </w:tc>
        <w:tc>
          <w:tcPr>
            <w:tcW w:w="992" w:type="dxa"/>
            <w:vAlign w:val="top"/>
          </w:tcPr>
          <w:p>
            <w:pPr>
              <w:rPr>
                <w:szCs w:val="22"/>
              </w:rPr>
            </w:pPr>
            <w:r>
              <w:rPr>
                <w:rFonts w:hint="eastAsia"/>
                <w:szCs w:val="22"/>
              </w:rPr>
              <w:t>金额</w:t>
            </w:r>
          </w:p>
        </w:tc>
        <w:tc>
          <w:tcPr>
            <w:tcW w:w="992" w:type="dxa"/>
            <w:vAlign w:val="top"/>
          </w:tcPr>
          <w:p>
            <w:pPr>
              <w:rPr>
                <w:szCs w:val="22"/>
              </w:rPr>
            </w:pPr>
            <w:r>
              <w:rPr>
                <w:rFonts w:hint="eastAsia"/>
                <w:szCs w:val="22"/>
              </w:rPr>
              <w:t>300元</w:t>
            </w:r>
          </w:p>
        </w:tc>
        <w:tc>
          <w:tcPr>
            <w:tcW w:w="2013" w:type="dxa"/>
            <w:vAlign w:val="top"/>
          </w:tcPr>
          <w:p>
            <w:pPr>
              <w:rPr>
                <w:szCs w:val="22"/>
              </w:rPr>
            </w:pPr>
            <w:r>
              <w:rPr>
                <w:rFonts w:hint="eastAsia"/>
                <w:szCs w:val="22"/>
              </w:rPr>
              <w:t>险别（</w:t>
            </w:r>
            <w:r>
              <w:rPr>
                <w:szCs w:val="22"/>
              </w:rPr>
              <w:t>100019-</w:t>
            </w:r>
            <w:r>
              <w:rPr>
                <w:rFonts w:hint="eastAsia"/>
                <w:szCs w:val="20"/>
              </w:rPr>
              <w:t>疾病住院医疗保险</w:t>
            </w:r>
            <w:r>
              <w:rPr>
                <w:rFonts w:hint="eastAsia"/>
                <w:szCs w:val="22"/>
              </w:rPr>
              <w:t>）</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35" w:hRule="atLeast"/>
        </w:trPr>
        <w:tc>
          <w:tcPr>
            <w:tcW w:w="8358" w:type="dxa"/>
            <w:gridSpan w:val="6"/>
            <w:shd w:val="clear" w:color="auto" w:fill="F2F2F2"/>
            <w:vAlign w:val="top"/>
          </w:tcPr>
          <w:p>
            <w:pPr>
              <w:rPr>
                <w:b/>
                <w:szCs w:val="22"/>
              </w:rPr>
            </w:pPr>
            <w:r>
              <w:rPr>
                <w:rFonts w:hint="eastAsia"/>
                <w:b/>
                <w:szCs w:val="20"/>
              </w:rPr>
              <w:t>住院保少儿版</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35" w:hRule="atLeast"/>
        </w:trPr>
        <w:tc>
          <w:tcPr>
            <w:tcW w:w="1413" w:type="dxa"/>
            <w:vAlign w:val="top"/>
          </w:tcPr>
          <w:p>
            <w:pPr>
              <w:rPr>
                <w:szCs w:val="22"/>
              </w:rPr>
            </w:pPr>
            <w:r>
              <w:rPr>
                <w:rFonts w:ascii="宋体" w:hAnsi="宋体" w:eastAsia="宋体" w:cs="宋体"/>
                <w:sz w:val="18"/>
                <w:szCs w:val="18"/>
              </w:rPr>
              <w:fldChar w:fldCharType="begin"/>
            </w:r>
            <w:r>
              <w:rPr>
                <w:rFonts w:ascii="宋体" w:hAnsi="宋体" w:eastAsia="宋体" w:cs="宋体"/>
                <w:sz w:val="18"/>
                <w:szCs w:val="18"/>
              </w:rPr>
              <w:instrText xml:space="preserve"> HYPERLINK "http://10.130.201.36:7001/platform/processGgRiskDeductible.do?actionType=view&amp;ggRiskDeductibleRiskCode=1307&amp;ggRiskDeductibleDeductibleLevel=2&amp;ggRiskDeductibleDeductibleNo=13" </w:instrText>
            </w:r>
            <w:r>
              <w:rPr>
                <w:rFonts w:ascii="宋体" w:hAnsi="宋体" w:eastAsia="宋体" w:cs="宋体"/>
                <w:sz w:val="18"/>
                <w:szCs w:val="18"/>
              </w:rPr>
              <w:fldChar w:fldCharType="separate"/>
            </w:r>
            <w:r>
              <w:rPr>
                <w:rStyle w:val="9"/>
                <w:rFonts w:ascii="宋体" w:hAnsi="宋体" w:eastAsia="宋体" w:cs="宋体"/>
                <w:sz w:val="18"/>
                <w:szCs w:val="18"/>
              </w:rPr>
              <w:t>L087</w:t>
            </w:r>
            <w:r>
              <w:rPr>
                <w:rFonts w:ascii="宋体" w:hAnsi="宋体" w:eastAsia="宋体" w:cs="宋体"/>
                <w:sz w:val="18"/>
                <w:szCs w:val="18"/>
              </w:rPr>
              <w:fldChar w:fldCharType="end"/>
            </w:r>
          </w:p>
        </w:tc>
        <w:tc>
          <w:tcPr>
            <w:tcW w:w="1843" w:type="dxa"/>
            <w:vAlign w:val="top"/>
          </w:tcPr>
          <w:p>
            <w:pPr>
              <w:rPr>
                <w:szCs w:val="22"/>
              </w:rPr>
            </w:pPr>
            <w:r>
              <w:rPr>
                <w:rFonts w:hint="eastAsia"/>
              </w:rPr>
              <w:t>意外伤害医疗保险</w:t>
            </w:r>
            <w:r>
              <w:rPr>
                <w:rFonts w:cs="宋体"/>
                <w:sz w:val="18"/>
                <w:szCs w:val="18"/>
              </w:rPr>
              <w:t>免赔额</w:t>
            </w:r>
          </w:p>
        </w:tc>
        <w:tc>
          <w:tcPr>
            <w:tcW w:w="1105" w:type="dxa"/>
            <w:vAlign w:val="top"/>
          </w:tcPr>
          <w:p>
            <w:pPr>
              <w:rPr>
                <w:szCs w:val="22"/>
              </w:rPr>
            </w:pPr>
          </w:p>
        </w:tc>
        <w:tc>
          <w:tcPr>
            <w:tcW w:w="992" w:type="dxa"/>
            <w:vAlign w:val="top"/>
          </w:tcPr>
          <w:p>
            <w:pPr>
              <w:rPr>
                <w:szCs w:val="22"/>
              </w:rPr>
            </w:pPr>
            <w:r>
              <w:rPr>
                <w:rFonts w:hint="eastAsia"/>
                <w:szCs w:val="22"/>
              </w:rPr>
              <w:t>金额</w:t>
            </w:r>
          </w:p>
        </w:tc>
        <w:tc>
          <w:tcPr>
            <w:tcW w:w="992" w:type="dxa"/>
            <w:vAlign w:val="top"/>
          </w:tcPr>
          <w:p>
            <w:pPr>
              <w:rPr>
                <w:szCs w:val="22"/>
              </w:rPr>
            </w:pPr>
            <w:r>
              <w:rPr>
                <w:rFonts w:hint="eastAsia"/>
                <w:szCs w:val="22"/>
              </w:rPr>
              <w:t>100元</w:t>
            </w:r>
          </w:p>
        </w:tc>
        <w:tc>
          <w:tcPr>
            <w:tcW w:w="2013" w:type="dxa"/>
            <w:vAlign w:val="top"/>
          </w:tcPr>
          <w:p>
            <w:pPr>
              <w:rPr>
                <w:szCs w:val="22"/>
              </w:rPr>
            </w:pPr>
            <w:r>
              <w:rPr>
                <w:rFonts w:hint="eastAsia"/>
                <w:szCs w:val="22"/>
              </w:rPr>
              <w:t>险别（</w:t>
            </w:r>
            <w:r>
              <w:rPr>
                <w:szCs w:val="22"/>
              </w:rPr>
              <w:t>1122032-附加意外伤害医疗保险</w:t>
            </w:r>
            <w:r>
              <w:rPr>
                <w:rFonts w:hint="eastAsia"/>
                <w:szCs w:val="22"/>
              </w:rPr>
              <w:t>）</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35" w:hRule="atLeast"/>
        </w:trPr>
        <w:tc>
          <w:tcPr>
            <w:tcW w:w="1413" w:type="dxa"/>
            <w:vAlign w:val="top"/>
          </w:tcPr>
          <w:p>
            <w:pPr>
              <w:rPr>
                <w:szCs w:val="22"/>
              </w:rPr>
            </w:pPr>
            <w:r>
              <w:rPr>
                <w:rFonts w:cs="宋体"/>
                <w:sz w:val="18"/>
                <w:szCs w:val="18"/>
              </w:rPr>
              <w:t>B003</w:t>
            </w:r>
          </w:p>
        </w:tc>
        <w:tc>
          <w:tcPr>
            <w:tcW w:w="1843" w:type="dxa"/>
            <w:vAlign w:val="top"/>
          </w:tcPr>
          <w:p>
            <w:pPr>
              <w:rPr>
                <w:szCs w:val="22"/>
              </w:rPr>
            </w:pPr>
            <w:r>
              <w:t>每次</w:t>
            </w:r>
            <w:r>
              <w:rPr>
                <w:rFonts w:hint="eastAsia"/>
              </w:rPr>
              <w:t>疾病</w:t>
            </w:r>
            <w:r>
              <w:rPr>
                <w:rFonts w:hint="eastAsia"/>
                <w:szCs w:val="22"/>
              </w:rPr>
              <w:t>住院医疗免赔</w:t>
            </w:r>
          </w:p>
        </w:tc>
        <w:tc>
          <w:tcPr>
            <w:tcW w:w="1105" w:type="dxa"/>
            <w:vAlign w:val="top"/>
          </w:tcPr>
          <w:p>
            <w:pPr>
              <w:rPr>
                <w:szCs w:val="22"/>
              </w:rPr>
            </w:pPr>
          </w:p>
        </w:tc>
        <w:tc>
          <w:tcPr>
            <w:tcW w:w="992" w:type="dxa"/>
            <w:vAlign w:val="top"/>
          </w:tcPr>
          <w:p>
            <w:pPr>
              <w:rPr>
                <w:szCs w:val="22"/>
              </w:rPr>
            </w:pPr>
            <w:r>
              <w:rPr>
                <w:rFonts w:hint="eastAsia"/>
                <w:szCs w:val="22"/>
              </w:rPr>
              <w:t>金额</w:t>
            </w:r>
          </w:p>
        </w:tc>
        <w:tc>
          <w:tcPr>
            <w:tcW w:w="992" w:type="dxa"/>
            <w:vAlign w:val="top"/>
          </w:tcPr>
          <w:p>
            <w:pPr>
              <w:rPr>
                <w:szCs w:val="22"/>
              </w:rPr>
            </w:pPr>
            <w:r>
              <w:rPr>
                <w:rFonts w:hint="eastAsia"/>
                <w:szCs w:val="22"/>
              </w:rPr>
              <w:t>500元</w:t>
            </w:r>
          </w:p>
        </w:tc>
        <w:tc>
          <w:tcPr>
            <w:tcW w:w="2013" w:type="dxa"/>
            <w:vAlign w:val="top"/>
          </w:tcPr>
          <w:p>
            <w:pPr>
              <w:rPr>
                <w:szCs w:val="22"/>
              </w:rPr>
            </w:pPr>
            <w:r>
              <w:rPr>
                <w:rFonts w:hint="eastAsia"/>
                <w:szCs w:val="22"/>
              </w:rPr>
              <w:t>险别（</w:t>
            </w:r>
            <w:r>
              <w:rPr>
                <w:szCs w:val="22"/>
              </w:rPr>
              <w:t>100019-</w:t>
            </w:r>
            <w:r>
              <w:rPr>
                <w:rFonts w:hint="eastAsia"/>
                <w:szCs w:val="20"/>
              </w:rPr>
              <w:t>疾病住院医疗保险</w:t>
            </w:r>
            <w:r>
              <w:rPr>
                <w:rFonts w:hint="eastAsia"/>
                <w:szCs w:val="22"/>
              </w:rPr>
              <w:t>）</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35" w:hRule="atLeast"/>
        </w:trPr>
        <w:tc>
          <w:tcPr>
            <w:tcW w:w="8358" w:type="dxa"/>
            <w:gridSpan w:val="6"/>
            <w:vAlign w:val="top"/>
          </w:tcPr>
          <w:p>
            <w:pPr>
              <w:rPr>
                <w:szCs w:val="22"/>
              </w:rPr>
            </w:pPr>
            <w:r>
              <w:rPr>
                <w:rFonts w:hint="eastAsia"/>
                <w:b/>
              </w:rPr>
              <w:t>住院保老人版</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35" w:hRule="atLeast"/>
        </w:trPr>
        <w:tc>
          <w:tcPr>
            <w:tcW w:w="1413" w:type="dxa"/>
            <w:vAlign w:val="top"/>
          </w:tcPr>
          <w:p>
            <w:pPr>
              <w:rPr>
                <w:szCs w:val="22"/>
              </w:rPr>
            </w:pPr>
            <w:r>
              <w:rPr>
                <w:rFonts w:ascii="宋体" w:hAnsi="宋体" w:eastAsia="宋体" w:cs="宋体"/>
                <w:sz w:val="18"/>
                <w:szCs w:val="18"/>
              </w:rPr>
              <w:fldChar w:fldCharType="begin"/>
            </w:r>
            <w:r>
              <w:rPr>
                <w:rFonts w:ascii="宋体" w:hAnsi="宋体" w:eastAsia="宋体" w:cs="宋体"/>
                <w:sz w:val="18"/>
                <w:szCs w:val="18"/>
              </w:rPr>
              <w:instrText xml:space="preserve"> HYPERLINK "http://10.130.201.36:7001/platform/processGgRiskDeductible.do?actionType=view&amp;ggRiskDeductibleRiskCode=1307&amp;ggRiskDeductibleDeductibleLevel=2&amp;ggRiskDeductibleDeductibleNo=13" </w:instrText>
            </w:r>
            <w:r>
              <w:rPr>
                <w:rFonts w:ascii="宋体" w:hAnsi="宋体" w:eastAsia="宋体" w:cs="宋体"/>
                <w:sz w:val="18"/>
                <w:szCs w:val="18"/>
              </w:rPr>
              <w:fldChar w:fldCharType="separate"/>
            </w:r>
            <w:r>
              <w:rPr>
                <w:rStyle w:val="9"/>
                <w:rFonts w:ascii="宋体" w:hAnsi="宋体" w:eastAsia="宋体" w:cs="宋体"/>
                <w:sz w:val="18"/>
                <w:szCs w:val="18"/>
              </w:rPr>
              <w:t>L087</w:t>
            </w:r>
            <w:r>
              <w:rPr>
                <w:rFonts w:ascii="宋体" w:hAnsi="宋体" w:eastAsia="宋体" w:cs="宋体"/>
                <w:sz w:val="18"/>
                <w:szCs w:val="18"/>
              </w:rPr>
              <w:fldChar w:fldCharType="end"/>
            </w:r>
          </w:p>
        </w:tc>
        <w:tc>
          <w:tcPr>
            <w:tcW w:w="1843" w:type="dxa"/>
            <w:vAlign w:val="top"/>
          </w:tcPr>
          <w:p>
            <w:pPr>
              <w:rPr>
                <w:szCs w:val="22"/>
              </w:rPr>
            </w:pPr>
            <w:r>
              <w:rPr>
                <w:rFonts w:hint="eastAsia"/>
              </w:rPr>
              <w:t>意外伤害医疗保险</w:t>
            </w:r>
            <w:r>
              <w:rPr>
                <w:rFonts w:cs="宋体"/>
                <w:sz w:val="18"/>
                <w:szCs w:val="18"/>
              </w:rPr>
              <w:t>免赔额</w:t>
            </w:r>
          </w:p>
        </w:tc>
        <w:tc>
          <w:tcPr>
            <w:tcW w:w="1105" w:type="dxa"/>
            <w:vAlign w:val="top"/>
          </w:tcPr>
          <w:p>
            <w:pPr>
              <w:rPr>
                <w:szCs w:val="22"/>
              </w:rPr>
            </w:pPr>
          </w:p>
        </w:tc>
        <w:tc>
          <w:tcPr>
            <w:tcW w:w="992" w:type="dxa"/>
            <w:vAlign w:val="top"/>
          </w:tcPr>
          <w:p>
            <w:pPr>
              <w:rPr>
                <w:szCs w:val="22"/>
              </w:rPr>
            </w:pPr>
            <w:r>
              <w:rPr>
                <w:rFonts w:hint="eastAsia"/>
                <w:szCs w:val="22"/>
              </w:rPr>
              <w:t>金额</w:t>
            </w:r>
          </w:p>
        </w:tc>
        <w:tc>
          <w:tcPr>
            <w:tcW w:w="992" w:type="dxa"/>
            <w:vAlign w:val="top"/>
          </w:tcPr>
          <w:p>
            <w:pPr>
              <w:rPr>
                <w:szCs w:val="22"/>
              </w:rPr>
            </w:pPr>
            <w:r>
              <w:rPr>
                <w:rFonts w:hint="eastAsia"/>
                <w:szCs w:val="22"/>
              </w:rPr>
              <w:t>100元</w:t>
            </w:r>
          </w:p>
        </w:tc>
        <w:tc>
          <w:tcPr>
            <w:tcW w:w="2013" w:type="dxa"/>
            <w:vAlign w:val="top"/>
          </w:tcPr>
          <w:p>
            <w:pPr>
              <w:rPr>
                <w:szCs w:val="22"/>
              </w:rPr>
            </w:pPr>
            <w:r>
              <w:rPr>
                <w:rFonts w:hint="eastAsia"/>
                <w:szCs w:val="22"/>
              </w:rPr>
              <w:t>险别（</w:t>
            </w:r>
            <w:r>
              <w:rPr>
                <w:szCs w:val="22"/>
              </w:rPr>
              <w:t>1122032-附加意外伤害医疗保险</w:t>
            </w:r>
            <w:r>
              <w:rPr>
                <w:rFonts w:hint="eastAsia"/>
                <w:szCs w:val="22"/>
              </w:rPr>
              <w:t>）</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35" w:hRule="atLeast"/>
        </w:trPr>
        <w:tc>
          <w:tcPr>
            <w:tcW w:w="1413" w:type="dxa"/>
            <w:vAlign w:val="top"/>
          </w:tcPr>
          <w:p>
            <w:pPr>
              <w:rPr>
                <w:szCs w:val="22"/>
              </w:rPr>
            </w:pPr>
            <w:r>
              <w:rPr>
                <w:rFonts w:cs="宋体"/>
                <w:sz w:val="18"/>
                <w:szCs w:val="18"/>
              </w:rPr>
              <w:t>B003</w:t>
            </w:r>
          </w:p>
        </w:tc>
        <w:tc>
          <w:tcPr>
            <w:tcW w:w="1843" w:type="dxa"/>
            <w:vAlign w:val="top"/>
          </w:tcPr>
          <w:p>
            <w:pPr>
              <w:rPr>
                <w:szCs w:val="22"/>
              </w:rPr>
            </w:pPr>
            <w:r>
              <w:t>每次</w:t>
            </w:r>
            <w:r>
              <w:rPr>
                <w:rFonts w:hint="eastAsia"/>
              </w:rPr>
              <w:t>疾病</w:t>
            </w:r>
            <w:r>
              <w:rPr>
                <w:rFonts w:hint="eastAsia"/>
                <w:szCs w:val="22"/>
              </w:rPr>
              <w:t>住院医疗免赔</w:t>
            </w:r>
          </w:p>
        </w:tc>
        <w:tc>
          <w:tcPr>
            <w:tcW w:w="1105" w:type="dxa"/>
            <w:vAlign w:val="top"/>
          </w:tcPr>
          <w:p>
            <w:pPr>
              <w:rPr>
                <w:szCs w:val="22"/>
              </w:rPr>
            </w:pPr>
          </w:p>
        </w:tc>
        <w:tc>
          <w:tcPr>
            <w:tcW w:w="992" w:type="dxa"/>
            <w:vAlign w:val="top"/>
          </w:tcPr>
          <w:p>
            <w:pPr>
              <w:rPr>
                <w:szCs w:val="22"/>
              </w:rPr>
            </w:pPr>
            <w:r>
              <w:rPr>
                <w:rFonts w:hint="eastAsia"/>
                <w:szCs w:val="22"/>
              </w:rPr>
              <w:t>金额</w:t>
            </w:r>
          </w:p>
        </w:tc>
        <w:tc>
          <w:tcPr>
            <w:tcW w:w="992" w:type="dxa"/>
            <w:vAlign w:val="top"/>
          </w:tcPr>
          <w:p>
            <w:pPr>
              <w:rPr>
                <w:szCs w:val="22"/>
              </w:rPr>
            </w:pPr>
            <w:r>
              <w:rPr>
                <w:rFonts w:hint="eastAsia"/>
                <w:szCs w:val="22"/>
              </w:rPr>
              <w:t>500元</w:t>
            </w:r>
          </w:p>
        </w:tc>
        <w:tc>
          <w:tcPr>
            <w:tcW w:w="2013" w:type="dxa"/>
            <w:vAlign w:val="top"/>
          </w:tcPr>
          <w:p>
            <w:pPr>
              <w:rPr>
                <w:szCs w:val="22"/>
              </w:rPr>
            </w:pPr>
            <w:r>
              <w:rPr>
                <w:rFonts w:hint="eastAsia"/>
                <w:szCs w:val="22"/>
              </w:rPr>
              <w:t>险别（</w:t>
            </w:r>
            <w:r>
              <w:rPr>
                <w:szCs w:val="22"/>
              </w:rPr>
              <w:t>100019-</w:t>
            </w:r>
            <w:r>
              <w:rPr>
                <w:rFonts w:hint="eastAsia"/>
                <w:szCs w:val="20"/>
              </w:rPr>
              <w:t>疾病住院医疗保险</w:t>
            </w:r>
            <w:r>
              <w:rPr>
                <w:rFonts w:hint="eastAsia"/>
                <w:szCs w:val="22"/>
              </w:rPr>
              <w:t>）</w:t>
            </w:r>
          </w:p>
        </w:tc>
      </w:tr>
    </w:tbl>
    <w:p>
      <w:pPr>
        <w:pStyle w:val="3"/>
        <w:numPr>
          <w:ilvl w:val="0"/>
          <w:numId w:val="0"/>
        </w:numPr>
        <w:ind w:left="0" w:firstLine="0"/>
        <w:rPr>
          <w:color w:val="auto"/>
          <w:highlight w:val="none"/>
        </w:rPr>
      </w:pPr>
      <w:bookmarkStart w:id="19" w:name="_Toc475194285"/>
      <w:r>
        <w:rPr>
          <w:rFonts w:hint="eastAsia"/>
          <w:color w:val="auto"/>
          <w:highlight w:val="none"/>
        </w:rPr>
        <w:t>特别</w:t>
      </w:r>
      <w:r>
        <w:rPr>
          <w:color w:val="auto"/>
          <w:highlight w:val="none"/>
        </w:rPr>
        <w:t>约定</w:t>
      </w:r>
      <w:bookmarkEnd w:id="18"/>
      <w:bookmarkEnd w:id="19"/>
    </w:p>
    <w:p>
      <w:pPr>
        <w:pStyle w:val="14"/>
        <w:numPr>
          <w:ilvl w:val="0"/>
          <w:numId w:val="8"/>
        </w:numPr>
        <w:tabs>
          <w:tab w:val="left" w:pos="426"/>
          <w:tab w:val="clear" w:pos="720"/>
        </w:tabs>
        <w:ind w:left="426" w:hanging="426" w:firstLineChars="0"/>
        <w:rPr>
          <w:color w:val="auto"/>
          <w:highlight w:val="none"/>
          <w:u w:val="single"/>
        </w:rPr>
      </w:pPr>
      <w:r>
        <w:rPr>
          <w:rFonts w:hint="eastAsia"/>
          <w:color w:val="auto"/>
          <w:highlight w:val="none"/>
        </w:rPr>
        <w:t>该</w:t>
      </w:r>
      <w:r>
        <w:rPr>
          <w:color w:val="auto"/>
          <w:highlight w:val="none"/>
        </w:rPr>
        <w:t>产品</w:t>
      </w:r>
      <w:r>
        <w:rPr>
          <w:rFonts w:hint="eastAsia"/>
          <w:color w:val="auto"/>
          <w:highlight w:val="none"/>
        </w:rPr>
        <w:t>是否有特别</w:t>
      </w:r>
      <w:r>
        <w:rPr>
          <w:color w:val="auto"/>
          <w:highlight w:val="none"/>
        </w:rPr>
        <w:t>约定</w:t>
      </w:r>
      <w:r>
        <w:rPr>
          <w:rFonts w:hint="eastAsia"/>
          <w:color w:val="auto"/>
          <w:highlight w:val="none"/>
        </w:rPr>
        <w:t>？___</w:t>
      </w:r>
      <w:r>
        <w:rPr>
          <w:color w:val="auto"/>
          <w:highlight w:val="none"/>
        </w:rPr>
        <w:t>A_</w:t>
      </w:r>
      <w:r>
        <w:rPr>
          <w:rFonts w:hint="eastAsia"/>
          <w:color w:val="auto"/>
          <w:highlight w:val="none"/>
        </w:rPr>
        <w:t>__</w:t>
      </w:r>
      <w:r>
        <w:rPr>
          <w:color w:val="auto"/>
          <w:highlight w:val="none"/>
        </w:rPr>
        <w:t>_A_A</w:t>
      </w:r>
      <w:r>
        <w:rPr>
          <w:rFonts w:hint="eastAsia"/>
          <w:color w:val="auto"/>
          <w:highlight w:val="none"/>
        </w:rPr>
        <w:t xml:space="preserve">.有  </w:t>
      </w:r>
      <w:r>
        <w:rPr>
          <w:color w:val="auto"/>
          <w:highlight w:val="none"/>
        </w:rPr>
        <w:t>B.</w:t>
      </w:r>
      <w:r>
        <w:rPr>
          <w:rFonts w:hint="eastAsia"/>
          <w:color w:val="auto"/>
          <w:highlight w:val="none"/>
        </w:rPr>
        <w:t>没有</w:t>
      </w:r>
      <w:r>
        <w:rPr>
          <w:color w:val="auto"/>
          <w:highlight w:val="none"/>
        </w:rPr>
        <w:t>。</w:t>
      </w:r>
      <w:r>
        <w:rPr>
          <w:rFonts w:hint="eastAsia"/>
          <w:color w:val="auto"/>
          <w:highlight w:val="none"/>
        </w:rPr>
        <w:t>若</w:t>
      </w:r>
      <w:r>
        <w:rPr>
          <w:color w:val="auto"/>
          <w:highlight w:val="none"/>
        </w:rPr>
        <w:t>有，</w:t>
      </w:r>
      <w:r>
        <w:rPr>
          <w:rFonts w:hint="eastAsia"/>
          <w:color w:val="auto"/>
          <w:highlight w:val="none"/>
        </w:rPr>
        <w:t>请在</w:t>
      </w:r>
      <w:r>
        <w:rPr>
          <w:color w:val="auto"/>
          <w:highlight w:val="none"/>
        </w:rPr>
        <w:t>下</w:t>
      </w:r>
      <w:r>
        <w:rPr>
          <w:rFonts w:hint="eastAsia"/>
          <w:color w:val="auto"/>
          <w:highlight w:val="none"/>
        </w:rPr>
        <w:t>面说明特别</w:t>
      </w:r>
      <w:r>
        <w:rPr>
          <w:color w:val="auto"/>
          <w:highlight w:val="none"/>
        </w:rPr>
        <w:t>约定的</w:t>
      </w:r>
      <w:r>
        <w:rPr>
          <w:rFonts w:hint="eastAsia"/>
          <w:color w:val="auto"/>
          <w:highlight w:val="none"/>
        </w:rPr>
        <w:t>名称</w:t>
      </w:r>
      <w:r>
        <w:rPr>
          <w:color w:val="auto"/>
          <w:highlight w:val="none"/>
        </w:rPr>
        <w:t>及内容</w:t>
      </w:r>
      <w:r>
        <w:rPr>
          <w:rFonts w:hint="eastAsia"/>
          <w:color w:val="auto"/>
          <w:highlight w:val="none"/>
        </w:rPr>
        <w:t>：</w:t>
      </w:r>
    </w:p>
    <w:p>
      <w:pPr>
        <w:rPr>
          <w:rFonts w:hint="eastAsia"/>
          <w:b/>
          <w:color w:val="auto"/>
          <w:sz w:val="24"/>
          <w:szCs w:val="24"/>
          <w:highlight w:val="none"/>
          <w:shd w:val="clear" w:color="auto" w:fill="FF0000"/>
        </w:rPr>
      </w:pPr>
      <w:r>
        <w:rPr>
          <w:rFonts w:hint="eastAsia"/>
          <w:b/>
          <w:color w:val="auto"/>
          <w:sz w:val="24"/>
          <w:szCs w:val="24"/>
          <w:highlight w:val="none"/>
          <w:shd w:val="clear" w:color="auto" w:fill="FF0000"/>
        </w:rPr>
        <w:t>特别约定根据</w:t>
      </w:r>
      <w:r>
        <w:rPr>
          <w:b/>
          <w:color w:val="auto"/>
          <w:sz w:val="24"/>
          <w:szCs w:val="24"/>
          <w:highlight w:val="none"/>
          <w:shd w:val="clear" w:color="auto" w:fill="FF0000"/>
        </w:rPr>
        <w:t>传入</w:t>
      </w:r>
      <w:r>
        <w:rPr>
          <w:rFonts w:hint="eastAsia"/>
          <w:b/>
          <w:color w:val="auto"/>
          <w:sz w:val="24"/>
          <w:szCs w:val="24"/>
          <w:highlight w:val="none"/>
          <w:shd w:val="clear" w:color="auto" w:fill="FF0000"/>
        </w:rPr>
        <w:t>的被保险人</w:t>
      </w:r>
      <w:r>
        <w:rPr>
          <w:b/>
          <w:color w:val="auto"/>
          <w:sz w:val="24"/>
          <w:szCs w:val="24"/>
          <w:highlight w:val="none"/>
          <w:shd w:val="clear" w:color="auto" w:fill="FF0000"/>
        </w:rPr>
        <w:t>年龄校验</w:t>
      </w:r>
      <w:r>
        <w:rPr>
          <w:rFonts w:hint="eastAsia"/>
          <w:b/>
          <w:color w:val="auto"/>
          <w:sz w:val="24"/>
          <w:szCs w:val="24"/>
          <w:highlight w:val="none"/>
          <w:shd w:val="clear" w:color="auto" w:fill="FF0000"/>
        </w:rPr>
        <w:t>识别</w:t>
      </w:r>
      <w:r>
        <w:rPr>
          <w:b/>
          <w:color w:val="auto"/>
          <w:sz w:val="24"/>
          <w:szCs w:val="24"/>
          <w:highlight w:val="none"/>
          <w:shd w:val="clear" w:color="auto" w:fill="FF0000"/>
        </w:rPr>
        <w:t>带出</w:t>
      </w:r>
    </w:p>
    <w:p>
      <w:pPr>
        <w:pStyle w:val="13"/>
        <w:ind w:left="-2" w:leftChars="-1" w:firstLine="0" w:firstLineChars="0"/>
        <w:rPr>
          <w:rFonts w:hint="eastAsia" w:ascii="仿宋" w:hAnsi="仿宋" w:eastAsia="仿宋"/>
          <w:sz w:val="22"/>
        </w:rPr>
      </w:pPr>
      <w:r>
        <w:rPr>
          <w:rFonts w:hint="eastAsia" w:ascii="仿宋" w:hAnsi="仿宋" w:eastAsia="仿宋"/>
          <w:sz w:val="22"/>
        </w:rPr>
        <w:t>新住院保-幼儿版特别约定</w:t>
      </w:r>
    </w:p>
    <w:p>
      <w:pPr>
        <w:pStyle w:val="13"/>
        <w:ind w:left="-2" w:leftChars="-1" w:firstLine="0" w:firstLineChars="0"/>
        <w:rPr>
          <w:rFonts w:hint="eastAsia" w:ascii="仿宋" w:hAnsi="仿宋" w:eastAsia="仿宋"/>
          <w:sz w:val="22"/>
        </w:rPr>
      </w:pPr>
      <w:r>
        <w:rPr>
          <w:rFonts w:hint="eastAsia" w:ascii="仿宋" w:hAnsi="仿宋" w:eastAsia="仿宋"/>
          <w:sz w:val="22"/>
        </w:rPr>
        <w:t>特别约定内容：</w:t>
      </w:r>
    </w:p>
    <w:p>
      <w:pPr>
        <w:pStyle w:val="13"/>
        <w:numPr>
          <w:ilvl w:val="0"/>
          <w:numId w:val="9"/>
        </w:numPr>
        <w:ind w:left="-2" w:leftChars="-1" w:firstLine="0" w:firstLineChars="0"/>
        <w:rPr>
          <w:rFonts w:hint="eastAsia" w:ascii="仿宋" w:hAnsi="仿宋" w:eastAsia="仿宋"/>
          <w:sz w:val="22"/>
        </w:rPr>
      </w:pPr>
      <w:r>
        <w:rPr>
          <w:rFonts w:hint="eastAsia" w:ascii="仿宋" w:hAnsi="仿宋" w:eastAsia="仿宋"/>
          <w:sz w:val="22"/>
        </w:rPr>
        <w:t>本产品条款为《泰康在线财产保险股份有限公司人身意外伤害保险条款》、《泰康在线财产保险股份有限公司附加意外伤害医疗保险条款》及《泰康在线财产保险股份有限公司个人住院费用医疗保险（C款）条款》。其中,《泰康在线个人住院费用医疗保险（C款）条款》仅承保疾病住院医疗保险责任,《泰康在线附加意外伤害医疗保险条款》仅承保意外伤害医疗保险责任；</w:t>
      </w:r>
    </w:p>
    <w:p>
      <w:pPr>
        <w:pStyle w:val="13"/>
        <w:ind w:left="-2" w:leftChars="-1" w:firstLine="0" w:firstLineChars="0"/>
        <w:rPr>
          <w:rFonts w:hint="eastAsia" w:ascii="仿宋" w:hAnsi="仿宋" w:eastAsia="仿宋"/>
          <w:sz w:val="22"/>
        </w:rPr>
      </w:pPr>
      <w:r>
        <w:rPr>
          <w:rFonts w:hint="eastAsia" w:ascii="仿宋" w:hAnsi="仿宋" w:eastAsia="仿宋"/>
          <w:sz w:val="22"/>
        </w:rPr>
        <w:t>2.本产品意外医疗保险责任每次事故绝对免赔额100元；</w:t>
      </w:r>
    </w:p>
    <w:p>
      <w:pPr>
        <w:pStyle w:val="13"/>
        <w:ind w:left="-2" w:leftChars="-1" w:firstLine="0" w:firstLineChars="0"/>
        <w:rPr>
          <w:rFonts w:hint="eastAsia" w:ascii="仿宋" w:hAnsi="仿宋" w:eastAsia="仿宋"/>
          <w:sz w:val="22"/>
        </w:rPr>
      </w:pPr>
      <w:r>
        <w:rPr>
          <w:rFonts w:hint="eastAsia" w:ascii="仿宋" w:hAnsi="仿宋" w:eastAsia="仿宋"/>
          <w:sz w:val="22"/>
        </w:rPr>
        <w:t>3.本产品疾病住院医疗保险责任每次事故绝对免赔额500元；</w:t>
      </w:r>
    </w:p>
    <w:p>
      <w:pPr>
        <w:pStyle w:val="13"/>
        <w:ind w:left="-2" w:leftChars="-1" w:firstLine="0" w:firstLineChars="0"/>
        <w:rPr>
          <w:rFonts w:hint="eastAsia" w:ascii="仿宋" w:hAnsi="仿宋" w:eastAsia="仿宋"/>
          <w:sz w:val="22"/>
        </w:rPr>
      </w:pPr>
      <w:r>
        <w:rPr>
          <w:rFonts w:hint="eastAsia" w:ascii="仿宋" w:hAnsi="仿宋" w:eastAsia="仿宋"/>
          <w:sz w:val="22"/>
        </w:rPr>
        <w:t>4.本产品疾病住院医疗保险责任自本保险生效日起90日为等待期；</w:t>
      </w:r>
    </w:p>
    <w:p>
      <w:pPr>
        <w:pStyle w:val="13"/>
        <w:ind w:left="-2" w:leftChars="-1" w:firstLine="0" w:firstLineChars="0"/>
        <w:rPr>
          <w:rFonts w:hint="eastAsia" w:ascii="仿宋" w:hAnsi="仿宋" w:eastAsia="仿宋"/>
          <w:sz w:val="22"/>
        </w:rPr>
      </w:pPr>
      <w:r>
        <w:rPr>
          <w:rFonts w:hint="eastAsia" w:ascii="仿宋" w:hAnsi="仿宋" w:eastAsia="仿宋"/>
          <w:sz w:val="22"/>
        </w:rPr>
        <w:t>5. 本产品仅限符合《泰康在线职业代码表》中的1-3类职业人群投保；</w:t>
      </w:r>
    </w:p>
    <w:p>
      <w:pPr>
        <w:pStyle w:val="13"/>
        <w:ind w:left="-2" w:leftChars="-1" w:firstLine="0" w:firstLineChars="0"/>
        <w:rPr>
          <w:rFonts w:hint="eastAsia" w:ascii="仿宋" w:hAnsi="仿宋" w:eastAsia="仿宋"/>
          <w:sz w:val="22"/>
          <w:lang w:eastAsia="zh-CN"/>
        </w:rPr>
      </w:pPr>
      <w:r>
        <w:rPr>
          <w:rFonts w:hint="eastAsia" w:ascii="仿宋" w:hAnsi="仿宋" w:eastAsia="仿宋"/>
          <w:sz w:val="22"/>
        </w:rPr>
        <w:t>6.</w:t>
      </w:r>
      <w:r>
        <w:rPr>
          <w:rFonts w:ascii="仿宋" w:hAnsi="仿宋" w:eastAsia="仿宋"/>
          <w:sz w:val="22"/>
        </w:rPr>
        <w:t>本产品承保的</w:t>
      </w:r>
      <w:r>
        <w:rPr>
          <w:rFonts w:hint="eastAsia" w:ascii="仿宋" w:hAnsi="仿宋" w:eastAsia="仿宋"/>
          <w:sz w:val="22"/>
        </w:rPr>
        <w:t>残疾被保险人，仅限根据《人身保险伤残评定标准》9-10级的客户；1-8级客户不能投保本产品</w:t>
      </w:r>
      <w:r>
        <w:rPr>
          <w:rFonts w:hint="eastAsia" w:ascii="仿宋" w:hAnsi="仿宋" w:eastAsia="仿宋"/>
          <w:sz w:val="22"/>
          <w:lang w:eastAsia="zh-CN"/>
        </w:rPr>
        <w:t>；</w:t>
      </w:r>
    </w:p>
    <w:p>
      <w:pPr>
        <w:pStyle w:val="13"/>
        <w:ind w:left="-2" w:leftChars="-1" w:firstLine="0" w:firstLineChars="0"/>
        <w:rPr>
          <w:rFonts w:hint="eastAsia" w:ascii="仿宋" w:hAnsi="仿宋" w:eastAsia="仿宋"/>
          <w:sz w:val="22"/>
        </w:rPr>
      </w:pPr>
      <w:r>
        <w:rPr>
          <w:rFonts w:hint="eastAsia" w:ascii="仿宋" w:hAnsi="仿宋" w:eastAsia="仿宋"/>
          <w:sz w:val="22"/>
        </w:rPr>
        <w:t>7. 被保险人意外伤害医疗、疾病住院医疗保险责任。我们承担如下保险责任：</w:t>
      </w:r>
    </w:p>
    <w:p>
      <w:pPr>
        <w:pStyle w:val="13"/>
        <w:ind w:left="-2" w:leftChars="-1" w:firstLine="0" w:firstLineChars="0"/>
        <w:rPr>
          <w:rFonts w:hint="eastAsia" w:ascii="仿宋" w:hAnsi="仿宋" w:eastAsia="仿宋"/>
          <w:sz w:val="22"/>
        </w:rPr>
      </w:pPr>
      <w:r>
        <w:rPr>
          <w:rFonts w:hint="eastAsia" w:ascii="仿宋" w:hAnsi="仿宋" w:eastAsia="仿宋"/>
          <w:sz w:val="22"/>
        </w:rPr>
        <w:t>若被保险人发生的属于保险责任范围内的医疗费用未从社保或其他机构获得补偿，我们按如下公式给付疾病住院医疗/意外伤害医疗保险金：</w:t>
      </w:r>
    </w:p>
    <w:p>
      <w:pPr>
        <w:pStyle w:val="13"/>
        <w:ind w:left="-2" w:leftChars="-1" w:firstLine="0" w:firstLineChars="0"/>
        <w:rPr>
          <w:rFonts w:hint="eastAsia" w:ascii="仿宋" w:hAnsi="仿宋" w:eastAsia="仿宋"/>
          <w:sz w:val="22"/>
        </w:rPr>
      </w:pPr>
      <w:r>
        <w:rPr>
          <w:rFonts w:hint="eastAsia" w:ascii="仿宋" w:hAnsi="仿宋" w:eastAsia="仿宋"/>
          <w:sz w:val="22"/>
        </w:rPr>
        <w:t>疾病住院医疗保险金＝（社保报销范围内的医疗费用－免赔额）×80%</w:t>
      </w:r>
    </w:p>
    <w:p>
      <w:pPr>
        <w:pStyle w:val="13"/>
        <w:ind w:left="-2" w:leftChars="-1" w:firstLine="0" w:firstLineChars="0"/>
        <w:rPr>
          <w:rFonts w:hint="eastAsia" w:ascii="仿宋" w:hAnsi="仿宋" w:eastAsia="仿宋"/>
          <w:sz w:val="22"/>
        </w:rPr>
      </w:pPr>
      <w:r>
        <w:rPr>
          <w:rFonts w:hint="eastAsia" w:ascii="仿宋" w:hAnsi="仿宋" w:eastAsia="仿宋"/>
          <w:sz w:val="22"/>
        </w:rPr>
        <w:t>意外伤害医疗保险金＝（社保报销范围内的医疗费用－免赔额）×80%</w:t>
      </w:r>
    </w:p>
    <w:p>
      <w:pPr>
        <w:pStyle w:val="13"/>
        <w:ind w:left="-2" w:leftChars="-1" w:firstLine="0" w:firstLineChars="0"/>
        <w:rPr>
          <w:rFonts w:hint="eastAsia" w:ascii="仿宋" w:hAnsi="仿宋" w:eastAsia="仿宋"/>
          <w:sz w:val="22"/>
        </w:rPr>
      </w:pPr>
      <w:r>
        <w:rPr>
          <w:rFonts w:hint="eastAsia" w:ascii="仿宋" w:hAnsi="仿宋" w:eastAsia="仿宋"/>
          <w:sz w:val="22"/>
        </w:rPr>
        <w:t>若被保险人发生的属于保险责任范围内的医疗费用已从社保或其他机构获得补偿，我们按如下公式给付疾病/意外伤害医疗保险金：</w:t>
      </w:r>
    </w:p>
    <w:p>
      <w:pPr>
        <w:pStyle w:val="13"/>
        <w:ind w:left="-2" w:leftChars="-1" w:firstLine="0" w:firstLineChars="0"/>
        <w:rPr>
          <w:rFonts w:hint="eastAsia" w:ascii="仿宋" w:hAnsi="仿宋" w:eastAsia="仿宋"/>
          <w:sz w:val="22"/>
        </w:rPr>
      </w:pPr>
      <w:r>
        <w:rPr>
          <w:rFonts w:hint="eastAsia" w:ascii="仿宋" w:hAnsi="仿宋" w:eastAsia="仿宋"/>
          <w:sz w:val="22"/>
        </w:rPr>
        <w:t>疾病住院医疗保险金＝（社保报销范围内的医疗费用－已获得的医疗费用补偿－免赔额）×100%</w:t>
      </w:r>
    </w:p>
    <w:p>
      <w:pPr>
        <w:pStyle w:val="13"/>
        <w:ind w:left="-2" w:leftChars="-1" w:firstLine="0" w:firstLineChars="0"/>
        <w:rPr>
          <w:rFonts w:hint="eastAsia" w:ascii="仿宋" w:hAnsi="仿宋" w:eastAsia="仿宋"/>
          <w:sz w:val="22"/>
        </w:rPr>
      </w:pPr>
      <w:r>
        <w:rPr>
          <w:rFonts w:hint="eastAsia" w:ascii="仿宋" w:hAnsi="仿宋" w:eastAsia="仿宋"/>
          <w:sz w:val="22"/>
        </w:rPr>
        <w:t>意外伤害医疗保险金＝（社保报销范围内的医疗费用－已获得的医疗费用补偿－免赔额）×100%</w:t>
      </w:r>
    </w:p>
    <w:p>
      <w:pPr>
        <w:pStyle w:val="13"/>
        <w:ind w:left="-2" w:leftChars="-1" w:firstLine="0" w:firstLineChars="0"/>
        <w:rPr>
          <w:rFonts w:hint="eastAsia" w:ascii="仿宋" w:hAnsi="仿宋" w:eastAsia="仿宋"/>
          <w:sz w:val="22"/>
        </w:rPr>
      </w:pPr>
      <w:r>
        <w:rPr>
          <w:rFonts w:hint="eastAsia" w:ascii="仿宋" w:hAnsi="仿宋" w:eastAsia="仿宋"/>
          <w:sz w:val="22"/>
        </w:rPr>
        <w:t>8.本产品方案被保险人投保年龄为0（出生满30天）-3周岁（含）；</w:t>
      </w:r>
    </w:p>
    <w:p>
      <w:pPr>
        <w:pStyle w:val="13"/>
        <w:ind w:left="-2" w:leftChars="-1" w:firstLine="0" w:firstLineChars="0"/>
        <w:rPr>
          <w:rFonts w:hint="eastAsia" w:ascii="仿宋" w:hAnsi="仿宋" w:eastAsia="仿宋"/>
          <w:sz w:val="22"/>
        </w:rPr>
      </w:pPr>
      <w:r>
        <w:rPr>
          <w:rFonts w:hint="eastAsia" w:ascii="仿宋" w:hAnsi="仿宋" w:eastAsia="仿宋"/>
          <w:sz w:val="22"/>
        </w:rPr>
        <w:t>9.本产品不保证续保。保险期满时，经投保人向保险人提出续保申请，并经保险人审核同意并收取保险费后，续保合同生效，续保合同具体的生效日以保险人另行签发的保险单的日期为准。上述为同一被保险人的续保合同无等待期。如本保险产品统一停售，则保险人不再接受投保人投保申请；</w:t>
      </w:r>
    </w:p>
    <w:p>
      <w:pPr>
        <w:pStyle w:val="13"/>
        <w:ind w:left="-2" w:leftChars="-1" w:firstLine="0" w:firstLineChars="0"/>
        <w:rPr>
          <w:rFonts w:ascii="仿宋" w:hAnsi="仿宋" w:eastAsia="仿宋"/>
          <w:sz w:val="22"/>
        </w:rPr>
      </w:pPr>
      <w:r>
        <w:rPr>
          <w:rFonts w:hint="eastAsia" w:ascii="仿宋" w:hAnsi="仿宋" w:eastAsia="仿宋"/>
          <w:sz w:val="22"/>
        </w:rPr>
        <w:t>10.本保险医疗相关保障限定为中华人民共和国境内合法经营的二级以上（含二级）公立医院（不含国际医疗及特需部)；</w:t>
      </w:r>
    </w:p>
    <w:p>
      <w:pPr>
        <w:pStyle w:val="13"/>
        <w:ind w:left="-2" w:leftChars="-1" w:firstLine="0" w:firstLineChars="0"/>
        <w:rPr>
          <w:rFonts w:hint="eastAsia" w:ascii="仿宋" w:hAnsi="仿宋" w:eastAsia="仿宋"/>
          <w:sz w:val="22"/>
          <w:lang w:eastAsia="zh-CN"/>
        </w:rPr>
      </w:pPr>
      <w:r>
        <w:rPr>
          <w:rFonts w:hint="eastAsia" w:ascii="仿宋" w:hAnsi="仿宋" w:eastAsia="仿宋"/>
          <w:sz w:val="22"/>
        </w:rPr>
        <w:t>11.</w:t>
      </w:r>
      <w:r>
        <w:rPr>
          <w:rFonts w:ascii="仿宋" w:hAnsi="仿宋" w:eastAsia="仿宋"/>
          <w:sz w:val="22"/>
        </w:rPr>
        <w:t xml:space="preserve"> </w:t>
      </w:r>
      <w:r>
        <w:rPr>
          <w:rFonts w:hint="eastAsia" w:ascii="仿宋" w:hAnsi="仿宋" w:eastAsia="仿宋"/>
          <w:sz w:val="22"/>
        </w:rPr>
        <w:t>本公司不承担被保险人在河北省承德市兴隆县中医院及北京市平谷区的所有医疗机构所产生的医疗保险责任（包括医疗费用报销责任及津贴型给付责任）</w:t>
      </w:r>
      <w:r>
        <w:rPr>
          <w:rFonts w:hint="eastAsia" w:ascii="仿宋" w:hAnsi="仿宋" w:eastAsia="仿宋"/>
          <w:sz w:val="22"/>
          <w:lang w:eastAsia="zh-CN"/>
        </w:rPr>
        <w:t>。</w:t>
      </w:r>
    </w:p>
    <w:p>
      <w:pPr>
        <w:pStyle w:val="13"/>
        <w:ind w:left="-2" w:leftChars="-1" w:firstLine="0" w:firstLineChars="0"/>
        <w:rPr>
          <w:rFonts w:hint="eastAsia" w:ascii="仿宋" w:hAnsi="仿宋" w:eastAsia="仿宋"/>
          <w:sz w:val="22"/>
        </w:rPr>
      </w:pPr>
    </w:p>
    <w:p>
      <w:pPr>
        <w:pStyle w:val="13"/>
        <w:ind w:left="-2" w:leftChars="-1" w:firstLine="0" w:firstLineChars="0"/>
        <w:rPr>
          <w:rFonts w:hint="eastAsia" w:ascii="仿宋" w:hAnsi="仿宋" w:eastAsia="仿宋"/>
          <w:sz w:val="22"/>
        </w:rPr>
      </w:pPr>
    </w:p>
    <w:p>
      <w:pPr>
        <w:pStyle w:val="13"/>
        <w:ind w:left="-2" w:leftChars="-1" w:firstLine="0" w:firstLineChars="0"/>
        <w:rPr>
          <w:rFonts w:hint="eastAsia" w:ascii="仿宋" w:hAnsi="仿宋" w:eastAsia="仿宋"/>
          <w:sz w:val="22"/>
        </w:rPr>
      </w:pPr>
    </w:p>
    <w:p>
      <w:pPr>
        <w:pStyle w:val="13"/>
        <w:ind w:left="-2" w:leftChars="-1" w:firstLine="0" w:firstLineChars="0"/>
        <w:rPr>
          <w:rFonts w:hint="eastAsia" w:ascii="仿宋" w:hAnsi="仿宋" w:eastAsia="仿宋"/>
          <w:sz w:val="22"/>
        </w:rPr>
      </w:pPr>
      <w:r>
        <w:rPr>
          <w:rFonts w:hint="eastAsia" w:ascii="仿宋" w:hAnsi="仿宋" w:eastAsia="仿宋"/>
          <w:sz w:val="22"/>
        </w:rPr>
        <w:t>新住院保-少儿版特别约定</w:t>
      </w:r>
    </w:p>
    <w:p>
      <w:pPr>
        <w:pStyle w:val="13"/>
        <w:ind w:left="-2" w:leftChars="-1" w:firstLine="0" w:firstLineChars="0"/>
        <w:rPr>
          <w:rFonts w:hint="eastAsia" w:ascii="仿宋" w:hAnsi="仿宋" w:eastAsia="仿宋"/>
          <w:sz w:val="22"/>
        </w:rPr>
      </w:pPr>
      <w:r>
        <w:rPr>
          <w:rFonts w:hint="eastAsia" w:ascii="仿宋" w:hAnsi="仿宋" w:eastAsia="仿宋"/>
          <w:sz w:val="22"/>
        </w:rPr>
        <w:t>特别约定内容：</w:t>
      </w:r>
    </w:p>
    <w:p>
      <w:pPr>
        <w:pStyle w:val="13"/>
        <w:numPr>
          <w:ilvl w:val="0"/>
          <w:numId w:val="10"/>
        </w:numPr>
        <w:ind w:left="-2" w:leftChars="-1" w:firstLine="0" w:firstLineChars="0"/>
        <w:rPr>
          <w:rFonts w:hint="eastAsia" w:ascii="仿宋" w:hAnsi="仿宋" w:eastAsia="仿宋"/>
          <w:sz w:val="22"/>
        </w:rPr>
      </w:pPr>
      <w:r>
        <w:rPr>
          <w:rFonts w:hint="eastAsia" w:ascii="仿宋" w:hAnsi="仿宋" w:eastAsia="仿宋"/>
          <w:sz w:val="22"/>
        </w:rPr>
        <w:t>本产品条款为《泰康在线财产保险股份有限公司人身意外伤害保险条款》、《泰康在线财产保险股份有限公司附加意外伤害医疗保险条款》及《泰康在线财产保险股份有限公司个人住院费用医疗保险（C款）条款》。其中,《泰康在线个人住院费用医疗保险（C款）条款》仅承保疾病住院医疗保险责任,《泰康在线附加意外伤害医疗保险条款》仅承保意外伤害医疗保险责任；</w:t>
      </w:r>
    </w:p>
    <w:p>
      <w:pPr>
        <w:pStyle w:val="13"/>
        <w:ind w:left="-2" w:leftChars="-1" w:firstLine="0" w:firstLineChars="0"/>
        <w:rPr>
          <w:rFonts w:hint="eastAsia" w:ascii="仿宋" w:hAnsi="仿宋" w:eastAsia="仿宋"/>
          <w:sz w:val="22"/>
        </w:rPr>
      </w:pPr>
      <w:r>
        <w:rPr>
          <w:rFonts w:hint="eastAsia" w:ascii="仿宋" w:hAnsi="仿宋" w:eastAsia="仿宋"/>
          <w:sz w:val="22"/>
        </w:rPr>
        <w:t>2.本产品意外医疗保险责任每次事故绝对免赔额100元；</w:t>
      </w:r>
    </w:p>
    <w:p>
      <w:pPr>
        <w:pStyle w:val="13"/>
        <w:ind w:left="-2" w:leftChars="-1" w:firstLine="0" w:firstLineChars="0"/>
        <w:rPr>
          <w:rFonts w:hint="eastAsia" w:ascii="仿宋" w:hAnsi="仿宋" w:eastAsia="仿宋"/>
          <w:sz w:val="22"/>
        </w:rPr>
      </w:pPr>
      <w:r>
        <w:rPr>
          <w:rFonts w:hint="eastAsia" w:ascii="仿宋" w:hAnsi="仿宋" w:eastAsia="仿宋"/>
          <w:sz w:val="22"/>
        </w:rPr>
        <w:t>3.本产品疾病住院医疗保险责任每次事故绝对免赔额500元；</w:t>
      </w:r>
    </w:p>
    <w:p>
      <w:pPr>
        <w:pStyle w:val="13"/>
        <w:ind w:left="-2" w:leftChars="-1" w:firstLine="0" w:firstLineChars="0"/>
        <w:rPr>
          <w:rFonts w:hint="eastAsia" w:ascii="仿宋" w:hAnsi="仿宋" w:eastAsia="仿宋"/>
          <w:sz w:val="22"/>
        </w:rPr>
      </w:pPr>
      <w:r>
        <w:rPr>
          <w:rFonts w:hint="eastAsia" w:ascii="仿宋" w:hAnsi="仿宋" w:eastAsia="仿宋"/>
          <w:sz w:val="22"/>
        </w:rPr>
        <w:t>4.本产品疾病住院医疗保险责任自本保险生效日起90日为等待期；</w:t>
      </w:r>
    </w:p>
    <w:p>
      <w:pPr>
        <w:pStyle w:val="13"/>
        <w:ind w:left="-2" w:leftChars="-1" w:firstLine="0" w:firstLineChars="0"/>
        <w:rPr>
          <w:rFonts w:hint="eastAsia" w:ascii="仿宋" w:hAnsi="仿宋" w:eastAsia="仿宋"/>
          <w:sz w:val="22"/>
        </w:rPr>
      </w:pPr>
      <w:r>
        <w:rPr>
          <w:rFonts w:hint="eastAsia" w:ascii="仿宋" w:hAnsi="仿宋" w:eastAsia="仿宋"/>
          <w:sz w:val="22"/>
        </w:rPr>
        <w:t>5. 本产品仅限符合《泰康在线职业代码表》中的1-3类职业人群投保；</w:t>
      </w:r>
    </w:p>
    <w:p>
      <w:pPr>
        <w:pStyle w:val="13"/>
        <w:ind w:left="-2" w:leftChars="-1" w:firstLine="0" w:firstLineChars="0"/>
        <w:rPr>
          <w:rFonts w:hint="eastAsia" w:ascii="仿宋" w:hAnsi="仿宋" w:eastAsia="仿宋"/>
          <w:sz w:val="22"/>
        </w:rPr>
      </w:pPr>
      <w:r>
        <w:rPr>
          <w:rFonts w:hint="eastAsia" w:ascii="仿宋" w:hAnsi="仿宋" w:eastAsia="仿宋"/>
          <w:sz w:val="22"/>
        </w:rPr>
        <w:t>6.</w:t>
      </w:r>
      <w:r>
        <w:rPr>
          <w:rFonts w:ascii="仿宋" w:hAnsi="仿宋" w:eastAsia="仿宋"/>
          <w:sz w:val="22"/>
        </w:rPr>
        <w:t>本产品承保的</w:t>
      </w:r>
      <w:r>
        <w:rPr>
          <w:rFonts w:hint="eastAsia" w:ascii="仿宋" w:hAnsi="仿宋" w:eastAsia="仿宋"/>
          <w:sz w:val="22"/>
        </w:rPr>
        <w:t>残疾被保险人，仅限根据《人身保险伤残评定标准》9-10级的客户；1-8级客户不能投保本产品；</w:t>
      </w:r>
    </w:p>
    <w:p>
      <w:pPr>
        <w:pStyle w:val="13"/>
        <w:ind w:left="-2" w:leftChars="-1" w:firstLine="0" w:firstLineChars="0"/>
        <w:rPr>
          <w:rFonts w:hint="eastAsia" w:ascii="仿宋" w:hAnsi="仿宋" w:eastAsia="仿宋"/>
          <w:sz w:val="22"/>
        </w:rPr>
      </w:pPr>
      <w:r>
        <w:rPr>
          <w:rFonts w:hint="eastAsia" w:ascii="仿宋" w:hAnsi="仿宋" w:eastAsia="仿宋"/>
          <w:sz w:val="22"/>
        </w:rPr>
        <w:t>7. 被保险人意外伤害医疗、疾病住院医疗保险责任。我们承担如下保险责任：</w:t>
      </w:r>
    </w:p>
    <w:p>
      <w:pPr>
        <w:pStyle w:val="13"/>
        <w:ind w:left="-2" w:leftChars="-1" w:firstLine="0" w:firstLineChars="0"/>
        <w:rPr>
          <w:rFonts w:hint="eastAsia" w:ascii="仿宋" w:hAnsi="仿宋" w:eastAsia="仿宋"/>
          <w:sz w:val="22"/>
        </w:rPr>
      </w:pPr>
      <w:r>
        <w:rPr>
          <w:rFonts w:hint="eastAsia" w:ascii="仿宋" w:hAnsi="仿宋" w:eastAsia="仿宋"/>
          <w:sz w:val="22"/>
        </w:rPr>
        <w:t>若被保险人发生的属于保险责任范围内的医疗费用未从社保或其他机构获得补偿，我们按如下公式给付疾病住院医疗/意外伤害医疗保险金：</w:t>
      </w:r>
    </w:p>
    <w:p>
      <w:pPr>
        <w:pStyle w:val="13"/>
        <w:ind w:left="-2" w:leftChars="-1" w:firstLine="0" w:firstLineChars="0"/>
        <w:rPr>
          <w:rFonts w:hint="eastAsia" w:ascii="仿宋" w:hAnsi="仿宋" w:eastAsia="仿宋"/>
          <w:sz w:val="22"/>
        </w:rPr>
      </w:pPr>
      <w:r>
        <w:rPr>
          <w:rFonts w:hint="eastAsia" w:ascii="仿宋" w:hAnsi="仿宋" w:eastAsia="仿宋"/>
          <w:sz w:val="22"/>
        </w:rPr>
        <w:t>疾病住院医疗保险金＝（社保报销范围内的医疗费用－免赔额）×80%</w:t>
      </w:r>
    </w:p>
    <w:p>
      <w:pPr>
        <w:pStyle w:val="13"/>
        <w:ind w:left="-2" w:leftChars="-1" w:firstLine="0" w:firstLineChars="0"/>
        <w:rPr>
          <w:rFonts w:hint="eastAsia" w:ascii="仿宋" w:hAnsi="仿宋" w:eastAsia="仿宋"/>
          <w:sz w:val="22"/>
        </w:rPr>
      </w:pPr>
      <w:r>
        <w:rPr>
          <w:rFonts w:hint="eastAsia" w:ascii="仿宋" w:hAnsi="仿宋" w:eastAsia="仿宋"/>
          <w:sz w:val="22"/>
        </w:rPr>
        <w:t>意外伤害医疗保险金＝（社保报销范围内的医疗费用－免赔额）×80%</w:t>
      </w:r>
    </w:p>
    <w:p>
      <w:pPr>
        <w:pStyle w:val="13"/>
        <w:ind w:left="-2" w:leftChars="-1" w:firstLine="0" w:firstLineChars="0"/>
        <w:rPr>
          <w:rFonts w:hint="eastAsia" w:ascii="仿宋" w:hAnsi="仿宋" w:eastAsia="仿宋"/>
          <w:sz w:val="22"/>
        </w:rPr>
      </w:pPr>
      <w:r>
        <w:rPr>
          <w:rFonts w:hint="eastAsia" w:ascii="仿宋" w:hAnsi="仿宋" w:eastAsia="仿宋"/>
          <w:sz w:val="22"/>
        </w:rPr>
        <w:t>若被保险人发生的属于保险责任范围内的医疗费用已从社保或其他机构获得补偿，我们按如下公式给付疾病/意外伤害医疗保险金：</w:t>
      </w:r>
    </w:p>
    <w:p>
      <w:pPr>
        <w:pStyle w:val="13"/>
        <w:ind w:left="-2" w:leftChars="-1" w:firstLine="0" w:firstLineChars="0"/>
        <w:rPr>
          <w:rFonts w:hint="eastAsia" w:ascii="仿宋" w:hAnsi="仿宋" w:eastAsia="仿宋"/>
          <w:sz w:val="22"/>
        </w:rPr>
      </w:pPr>
      <w:r>
        <w:rPr>
          <w:rFonts w:hint="eastAsia" w:ascii="仿宋" w:hAnsi="仿宋" w:eastAsia="仿宋"/>
          <w:sz w:val="22"/>
        </w:rPr>
        <w:t>疾病住院医疗保险金＝（社保报销范围内的医疗费用－已获得的医疗费用补偿－免赔额）×100%</w:t>
      </w:r>
    </w:p>
    <w:p>
      <w:pPr>
        <w:pStyle w:val="13"/>
        <w:ind w:left="-2" w:leftChars="-1" w:firstLine="0" w:firstLineChars="0"/>
        <w:rPr>
          <w:rFonts w:hint="eastAsia" w:ascii="仿宋" w:hAnsi="仿宋" w:eastAsia="仿宋"/>
          <w:sz w:val="22"/>
        </w:rPr>
      </w:pPr>
      <w:r>
        <w:rPr>
          <w:rFonts w:hint="eastAsia" w:ascii="仿宋" w:hAnsi="仿宋" w:eastAsia="仿宋"/>
          <w:sz w:val="22"/>
        </w:rPr>
        <w:t>意外伤害医疗保险金＝（社保报销范围内的医疗费用－已获得的医疗费用补偿－免赔额）×100%</w:t>
      </w:r>
    </w:p>
    <w:p>
      <w:pPr>
        <w:pStyle w:val="13"/>
        <w:ind w:left="-2" w:leftChars="-1" w:firstLine="0" w:firstLineChars="0"/>
        <w:rPr>
          <w:rFonts w:hint="eastAsia" w:ascii="仿宋" w:hAnsi="仿宋" w:eastAsia="仿宋"/>
          <w:sz w:val="22"/>
        </w:rPr>
      </w:pPr>
      <w:r>
        <w:rPr>
          <w:rFonts w:hint="eastAsia" w:ascii="仿宋" w:hAnsi="仿宋" w:eastAsia="仿宋"/>
          <w:sz w:val="22"/>
        </w:rPr>
        <w:t>8.本产品方案被保险人投保年龄为4-17周岁（含）；</w:t>
      </w:r>
    </w:p>
    <w:p>
      <w:pPr>
        <w:pStyle w:val="13"/>
        <w:ind w:left="-2" w:leftChars="-1" w:firstLine="0" w:firstLineChars="0"/>
        <w:rPr>
          <w:rFonts w:hint="eastAsia" w:ascii="仿宋" w:hAnsi="仿宋" w:eastAsia="仿宋"/>
          <w:sz w:val="22"/>
        </w:rPr>
      </w:pPr>
      <w:r>
        <w:rPr>
          <w:rFonts w:hint="eastAsia" w:ascii="仿宋" w:hAnsi="仿宋" w:eastAsia="仿宋"/>
          <w:sz w:val="22"/>
        </w:rPr>
        <w:t>9.本产品不保证续保。保险期满时，经投保人向保险人提出续保申请，并经保险人审核同意并收取保险费后，续保合同生效，续保合同具体的生效日以保险人另行签发的保险单的日期为准。上述为同一被保险人的续保合同无等待期。如本保险产品统一停售，则保险人不再接受投保人投保申请；</w:t>
      </w:r>
    </w:p>
    <w:p>
      <w:pPr>
        <w:pStyle w:val="13"/>
        <w:ind w:left="-2" w:leftChars="-1" w:firstLine="0" w:firstLineChars="0"/>
        <w:rPr>
          <w:rFonts w:ascii="仿宋" w:hAnsi="仿宋" w:eastAsia="仿宋"/>
          <w:sz w:val="22"/>
        </w:rPr>
      </w:pPr>
      <w:r>
        <w:rPr>
          <w:rFonts w:hint="eastAsia" w:ascii="仿宋" w:hAnsi="仿宋" w:eastAsia="仿宋"/>
          <w:sz w:val="22"/>
        </w:rPr>
        <w:t>10.本保险医疗相关保障限定为中华人民共和国境内合法经营的二级以上（含二级）公立医院（不含国际医疗及特需部)；</w:t>
      </w:r>
    </w:p>
    <w:p>
      <w:pPr>
        <w:pStyle w:val="13"/>
        <w:ind w:left="-2" w:leftChars="-1" w:firstLine="0" w:firstLineChars="0"/>
        <w:rPr>
          <w:rFonts w:hint="eastAsia" w:ascii="仿宋" w:hAnsi="仿宋" w:eastAsia="仿宋"/>
          <w:sz w:val="22"/>
        </w:rPr>
      </w:pPr>
      <w:r>
        <w:rPr>
          <w:rFonts w:hint="eastAsia" w:ascii="仿宋" w:hAnsi="仿宋" w:eastAsia="仿宋"/>
          <w:sz w:val="22"/>
        </w:rPr>
        <w:t>11.</w:t>
      </w:r>
      <w:r>
        <w:rPr>
          <w:rFonts w:ascii="仿宋" w:hAnsi="仿宋" w:eastAsia="仿宋"/>
          <w:sz w:val="22"/>
        </w:rPr>
        <w:t xml:space="preserve"> </w:t>
      </w:r>
      <w:r>
        <w:rPr>
          <w:rFonts w:hint="eastAsia" w:ascii="仿宋" w:hAnsi="仿宋" w:eastAsia="仿宋"/>
          <w:sz w:val="22"/>
        </w:rPr>
        <w:t>本公司不承担被保险人在河北省承德市兴隆县中医院及北京市平谷区的所有医疗机构所产生的医疗保险责任（包括医疗费用报销责任及津贴型给付责任）。</w:t>
      </w:r>
    </w:p>
    <w:p>
      <w:pPr>
        <w:pStyle w:val="13"/>
        <w:ind w:left="0" w:leftChars="0" w:firstLine="0" w:firstLineChars="0"/>
        <w:rPr>
          <w:rFonts w:hint="eastAsia" w:ascii="仿宋" w:hAnsi="仿宋" w:eastAsia="仿宋"/>
          <w:sz w:val="22"/>
        </w:rPr>
      </w:pPr>
    </w:p>
    <w:p>
      <w:pPr>
        <w:pStyle w:val="13"/>
        <w:ind w:left="-2" w:leftChars="-1" w:firstLine="0" w:firstLineChars="0"/>
        <w:rPr>
          <w:rFonts w:hint="eastAsia" w:ascii="仿宋" w:hAnsi="仿宋" w:eastAsia="仿宋"/>
          <w:sz w:val="22"/>
        </w:rPr>
      </w:pPr>
      <w:r>
        <w:rPr>
          <w:rFonts w:hint="eastAsia" w:ascii="仿宋" w:hAnsi="仿宋" w:eastAsia="仿宋"/>
          <w:sz w:val="22"/>
        </w:rPr>
        <w:t>特别约定名称：新住院保-成人版特别约定</w:t>
      </w:r>
    </w:p>
    <w:p>
      <w:pPr>
        <w:pStyle w:val="13"/>
        <w:ind w:left="-2" w:leftChars="-1" w:firstLine="0" w:firstLineChars="0"/>
        <w:rPr>
          <w:rFonts w:hint="eastAsia" w:ascii="仿宋" w:hAnsi="仿宋" w:eastAsia="仿宋"/>
          <w:sz w:val="22"/>
        </w:rPr>
      </w:pPr>
      <w:r>
        <w:rPr>
          <w:rFonts w:hint="eastAsia" w:ascii="仿宋" w:hAnsi="仿宋" w:eastAsia="仿宋"/>
          <w:sz w:val="22"/>
        </w:rPr>
        <w:t>特别约定内容：</w:t>
      </w:r>
    </w:p>
    <w:p>
      <w:pPr>
        <w:pStyle w:val="13"/>
        <w:numPr>
          <w:ilvl w:val="0"/>
          <w:numId w:val="11"/>
        </w:numPr>
        <w:ind w:left="-2" w:leftChars="-1" w:firstLine="0" w:firstLineChars="0"/>
        <w:rPr>
          <w:rFonts w:hint="eastAsia" w:ascii="仿宋" w:hAnsi="仿宋" w:eastAsia="仿宋"/>
          <w:sz w:val="22"/>
        </w:rPr>
      </w:pPr>
      <w:r>
        <w:rPr>
          <w:rFonts w:hint="eastAsia" w:ascii="仿宋" w:hAnsi="仿宋" w:eastAsia="仿宋"/>
          <w:sz w:val="22"/>
        </w:rPr>
        <w:t>本产品条款为《泰康在线财产保险股份有限公司人身意外伤害保险条款》、《泰康在线财产保险股份有限公司附加意外伤害医疗保险条款》及《泰康在线财产保险股份有限公司个人住院费用医疗保险（C款）条款》。其中,《泰康在线个人住院费用医疗保险（C款）条款》仅承保疾病住院医疗保险责任,《泰康在线附加意外伤害医疗保险条款》仅承保意外伤害医疗保险责任；</w:t>
      </w:r>
    </w:p>
    <w:p>
      <w:pPr>
        <w:pStyle w:val="13"/>
        <w:ind w:left="-2" w:leftChars="-1" w:firstLine="0" w:firstLineChars="0"/>
        <w:rPr>
          <w:rFonts w:hint="eastAsia" w:ascii="仿宋" w:hAnsi="仿宋" w:eastAsia="仿宋"/>
          <w:sz w:val="22"/>
        </w:rPr>
      </w:pPr>
      <w:r>
        <w:rPr>
          <w:rFonts w:hint="eastAsia" w:ascii="仿宋" w:hAnsi="仿宋" w:eastAsia="仿宋"/>
          <w:sz w:val="22"/>
        </w:rPr>
        <w:t>2.本产品意外医疗保险责任每次事故绝对免赔额100元；</w:t>
      </w:r>
    </w:p>
    <w:p>
      <w:pPr>
        <w:pStyle w:val="13"/>
        <w:ind w:left="-2" w:leftChars="-1" w:firstLine="0" w:firstLineChars="0"/>
        <w:rPr>
          <w:rFonts w:hint="eastAsia" w:ascii="仿宋" w:hAnsi="仿宋" w:eastAsia="仿宋"/>
          <w:sz w:val="22"/>
        </w:rPr>
      </w:pPr>
      <w:r>
        <w:rPr>
          <w:rFonts w:hint="eastAsia" w:ascii="仿宋" w:hAnsi="仿宋" w:eastAsia="仿宋"/>
          <w:sz w:val="22"/>
        </w:rPr>
        <w:t>3.本产品疾病住院医疗保险责任每次事故绝对免赔额300元；</w:t>
      </w:r>
    </w:p>
    <w:p>
      <w:pPr>
        <w:pStyle w:val="13"/>
        <w:ind w:left="-2" w:leftChars="-1" w:firstLine="0" w:firstLineChars="0"/>
        <w:rPr>
          <w:rFonts w:hint="eastAsia" w:ascii="仿宋" w:hAnsi="仿宋" w:eastAsia="仿宋"/>
          <w:sz w:val="22"/>
        </w:rPr>
      </w:pPr>
      <w:r>
        <w:rPr>
          <w:rFonts w:hint="eastAsia" w:ascii="仿宋" w:hAnsi="仿宋" w:eastAsia="仿宋"/>
          <w:sz w:val="22"/>
        </w:rPr>
        <w:t>4.本产品疾病住院医疗保险责任自本保险生效日起90日为等待期；</w:t>
      </w:r>
    </w:p>
    <w:p>
      <w:pPr>
        <w:pStyle w:val="13"/>
        <w:ind w:left="-2" w:leftChars="-1" w:firstLine="0" w:firstLineChars="0"/>
        <w:rPr>
          <w:rFonts w:hint="eastAsia" w:ascii="仿宋" w:hAnsi="仿宋" w:eastAsia="仿宋"/>
          <w:sz w:val="22"/>
        </w:rPr>
      </w:pPr>
      <w:r>
        <w:rPr>
          <w:rFonts w:hint="eastAsia" w:ascii="仿宋" w:hAnsi="仿宋" w:eastAsia="仿宋"/>
          <w:sz w:val="22"/>
        </w:rPr>
        <w:t>5. 本产品仅限符合《泰康在线职业代码表》中的1-4类职业人群投保；</w:t>
      </w:r>
    </w:p>
    <w:p>
      <w:pPr>
        <w:pStyle w:val="13"/>
        <w:ind w:left="-2" w:leftChars="-1" w:firstLine="0" w:firstLineChars="0"/>
        <w:rPr>
          <w:rFonts w:hint="eastAsia" w:ascii="仿宋" w:hAnsi="仿宋" w:eastAsia="仿宋"/>
          <w:sz w:val="22"/>
        </w:rPr>
      </w:pPr>
      <w:r>
        <w:rPr>
          <w:rFonts w:hint="eastAsia" w:ascii="仿宋" w:hAnsi="仿宋" w:eastAsia="仿宋"/>
          <w:sz w:val="22"/>
        </w:rPr>
        <w:t>6.</w:t>
      </w:r>
      <w:r>
        <w:rPr>
          <w:rFonts w:ascii="仿宋" w:hAnsi="仿宋" w:eastAsia="仿宋"/>
          <w:sz w:val="22"/>
        </w:rPr>
        <w:t>本产品承保的</w:t>
      </w:r>
      <w:r>
        <w:rPr>
          <w:rFonts w:hint="eastAsia" w:ascii="仿宋" w:hAnsi="仿宋" w:eastAsia="仿宋"/>
          <w:sz w:val="22"/>
        </w:rPr>
        <w:t>残疾被保险人，仅限根据《人身保险伤残评定标准》9-10级的客户；1-8级客户不能投保本产品；</w:t>
      </w:r>
    </w:p>
    <w:p>
      <w:pPr>
        <w:pStyle w:val="13"/>
        <w:ind w:left="-2" w:leftChars="-1" w:firstLine="0" w:firstLineChars="0"/>
        <w:rPr>
          <w:rFonts w:hint="eastAsia" w:ascii="仿宋" w:hAnsi="仿宋" w:eastAsia="仿宋"/>
          <w:sz w:val="22"/>
        </w:rPr>
      </w:pPr>
      <w:r>
        <w:rPr>
          <w:rFonts w:hint="eastAsia" w:ascii="仿宋" w:hAnsi="仿宋" w:eastAsia="仿宋"/>
          <w:sz w:val="22"/>
        </w:rPr>
        <w:t>7. 被保险人意外伤害医疗、疾病住院医疗保险责任。我们承担如下保险责任：</w:t>
      </w:r>
    </w:p>
    <w:p>
      <w:pPr>
        <w:pStyle w:val="13"/>
        <w:ind w:left="-2" w:leftChars="-1" w:firstLine="0" w:firstLineChars="0"/>
        <w:rPr>
          <w:rFonts w:hint="eastAsia" w:ascii="仿宋" w:hAnsi="仿宋" w:eastAsia="仿宋"/>
          <w:sz w:val="22"/>
        </w:rPr>
      </w:pPr>
      <w:r>
        <w:rPr>
          <w:rFonts w:hint="eastAsia" w:ascii="仿宋" w:hAnsi="仿宋" w:eastAsia="仿宋"/>
          <w:sz w:val="22"/>
        </w:rPr>
        <w:t>若被保险人发生的属于保险责任范围内的医疗费用未从社保或其他机构获得补偿，我们按如下公式给付疾病住院医疗/意外伤害医疗保险金：</w:t>
      </w:r>
    </w:p>
    <w:p>
      <w:pPr>
        <w:pStyle w:val="13"/>
        <w:ind w:left="-2" w:leftChars="-1" w:firstLine="0" w:firstLineChars="0"/>
        <w:rPr>
          <w:rFonts w:hint="eastAsia" w:ascii="仿宋" w:hAnsi="仿宋" w:eastAsia="仿宋"/>
          <w:sz w:val="22"/>
        </w:rPr>
      </w:pPr>
      <w:r>
        <w:rPr>
          <w:rFonts w:hint="eastAsia" w:ascii="仿宋" w:hAnsi="仿宋" w:eastAsia="仿宋"/>
          <w:sz w:val="22"/>
        </w:rPr>
        <w:t>疾病住院医疗保险金＝（社保报销范围内的医疗费用－免赔额）×80%</w:t>
      </w:r>
    </w:p>
    <w:p>
      <w:pPr>
        <w:pStyle w:val="13"/>
        <w:ind w:left="-2" w:leftChars="-1" w:firstLine="0" w:firstLineChars="0"/>
        <w:rPr>
          <w:rFonts w:hint="eastAsia" w:ascii="仿宋" w:hAnsi="仿宋" w:eastAsia="仿宋"/>
          <w:sz w:val="22"/>
        </w:rPr>
      </w:pPr>
      <w:r>
        <w:rPr>
          <w:rFonts w:hint="eastAsia" w:ascii="仿宋" w:hAnsi="仿宋" w:eastAsia="仿宋"/>
          <w:sz w:val="22"/>
        </w:rPr>
        <w:t>意外伤害医疗保险金＝（社保报销范围内的医疗费用－免赔额）×80%</w:t>
      </w:r>
    </w:p>
    <w:p>
      <w:pPr>
        <w:pStyle w:val="13"/>
        <w:ind w:left="-2" w:leftChars="-1" w:firstLine="0" w:firstLineChars="0"/>
        <w:rPr>
          <w:rFonts w:hint="eastAsia" w:ascii="仿宋" w:hAnsi="仿宋" w:eastAsia="仿宋"/>
          <w:sz w:val="22"/>
        </w:rPr>
      </w:pPr>
      <w:r>
        <w:rPr>
          <w:rFonts w:hint="eastAsia" w:ascii="仿宋" w:hAnsi="仿宋" w:eastAsia="仿宋"/>
          <w:sz w:val="22"/>
        </w:rPr>
        <w:t>若被保险人发生的属于保险责任范围内的医疗费用已从社保或其他机构获得补偿，我们按如下公式给付疾病/意外伤害医疗保险金：</w:t>
      </w:r>
    </w:p>
    <w:p>
      <w:pPr>
        <w:pStyle w:val="13"/>
        <w:ind w:left="-2" w:leftChars="-1" w:firstLine="0" w:firstLineChars="0"/>
        <w:rPr>
          <w:rFonts w:hint="eastAsia" w:ascii="仿宋" w:hAnsi="仿宋" w:eastAsia="仿宋"/>
          <w:sz w:val="22"/>
        </w:rPr>
      </w:pPr>
      <w:r>
        <w:rPr>
          <w:rFonts w:hint="eastAsia" w:ascii="仿宋" w:hAnsi="仿宋" w:eastAsia="仿宋"/>
          <w:sz w:val="22"/>
        </w:rPr>
        <w:t>疾病住院医疗保险金＝（社保报销范围内的医疗费用－已获得的医疗费用补偿－免赔额）×100%</w:t>
      </w:r>
    </w:p>
    <w:p>
      <w:pPr>
        <w:pStyle w:val="13"/>
        <w:ind w:left="-2" w:leftChars="-1" w:firstLine="0" w:firstLineChars="0"/>
        <w:rPr>
          <w:rFonts w:hint="eastAsia" w:ascii="仿宋" w:hAnsi="仿宋" w:eastAsia="仿宋"/>
          <w:sz w:val="22"/>
        </w:rPr>
      </w:pPr>
      <w:r>
        <w:rPr>
          <w:rFonts w:hint="eastAsia" w:ascii="仿宋" w:hAnsi="仿宋" w:eastAsia="仿宋"/>
          <w:sz w:val="22"/>
        </w:rPr>
        <w:t>意外伤害医疗保险金＝（社保报销范围内的医疗费用－已获得的医疗费用补偿－免赔额）×100%</w:t>
      </w:r>
    </w:p>
    <w:p>
      <w:pPr>
        <w:pStyle w:val="13"/>
        <w:ind w:left="-2" w:leftChars="-1" w:firstLine="0" w:firstLineChars="0"/>
        <w:rPr>
          <w:rFonts w:hint="eastAsia" w:ascii="仿宋" w:hAnsi="仿宋" w:eastAsia="仿宋"/>
          <w:sz w:val="22"/>
        </w:rPr>
      </w:pPr>
      <w:r>
        <w:rPr>
          <w:rFonts w:hint="eastAsia" w:ascii="仿宋" w:hAnsi="仿宋" w:eastAsia="仿宋"/>
          <w:sz w:val="22"/>
        </w:rPr>
        <w:t>8.本产品方案被保险人投保年龄为18-49周岁（含）；</w:t>
      </w:r>
    </w:p>
    <w:p>
      <w:pPr>
        <w:pStyle w:val="13"/>
        <w:ind w:left="-2" w:leftChars="-1" w:firstLine="0" w:firstLineChars="0"/>
        <w:rPr>
          <w:rFonts w:hint="eastAsia" w:ascii="仿宋" w:hAnsi="仿宋" w:eastAsia="仿宋"/>
          <w:sz w:val="22"/>
        </w:rPr>
      </w:pPr>
      <w:r>
        <w:rPr>
          <w:rFonts w:hint="eastAsia" w:ascii="仿宋" w:hAnsi="仿宋" w:eastAsia="仿宋"/>
          <w:sz w:val="22"/>
        </w:rPr>
        <w:t>9.本产品不保证续保。保险期满时，经投保人向保险人提出续保申请，并经保险人审核同意并收取保险费后，续保合同生效，续保合同具体的生效日以保险人另行签发的保险单的日期为准。上述为同一被保险人的续保合同无等待期。如本保险产品统一停售，则保险人不再接受投保人投保申；</w:t>
      </w:r>
    </w:p>
    <w:p>
      <w:pPr>
        <w:pStyle w:val="13"/>
        <w:ind w:left="-2" w:leftChars="-1" w:firstLine="0" w:firstLineChars="0"/>
        <w:rPr>
          <w:rFonts w:ascii="仿宋" w:hAnsi="仿宋" w:eastAsia="仿宋"/>
          <w:sz w:val="22"/>
        </w:rPr>
      </w:pPr>
      <w:r>
        <w:rPr>
          <w:rFonts w:hint="eastAsia" w:ascii="仿宋" w:hAnsi="仿宋" w:eastAsia="仿宋"/>
          <w:sz w:val="22"/>
        </w:rPr>
        <w:t>10.本保险医疗相关保障限定为中华人民共和国境内合法经营的二级以上（含二级）公立医院（不含国际医疗及特需部)；</w:t>
      </w:r>
    </w:p>
    <w:p>
      <w:pPr>
        <w:pStyle w:val="13"/>
        <w:ind w:left="-2" w:leftChars="-1" w:firstLine="0" w:firstLineChars="0"/>
        <w:rPr>
          <w:rFonts w:hint="eastAsia" w:ascii="仿宋" w:hAnsi="仿宋" w:eastAsia="仿宋"/>
          <w:sz w:val="22"/>
          <w:lang w:eastAsia="zh-CN"/>
        </w:rPr>
      </w:pPr>
      <w:r>
        <w:rPr>
          <w:rFonts w:hint="eastAsia" w:ascii="仿宋" w:hAnsi="仿宋" w:eastAsia="仿宋"/>
          <w:sz w:val="22"/>
        </w:rPr>
        <w:t>11.</w:t>
      </w:r>
      <w:r>
        <w:rPr>
          <w:rFonts w:ascii="仿宋" w:hAnsi="仿宋" w:eastAsia="仿宋"/>
          <w:sz w:val="22"/>
        </w:rPr>
        <w:t xml:space="preserve"> </w:t>
      </w:r>
      <w:r>
        <w:rPr>
          <w:rFonts w:hint="eastAsia" w:ascii="仿宋" w:hAnsi="仿宋" w:eastAsia="仿宋"/>
          <w:sz w:val="22"/>
        </w:rPr>
        <w:t>本公司不承担被保险人在河北省承德市兴隆县中医院及北京市平谷区的所有医疗机构所产生的医疗保险责任（包括医疗费用报销责任及津贴型给付责任）</w:t>
      </w:r>
      <w:r>
        <w:rPr>
          <w:rFonts w:hint="eastAsia" w:ascii="仿宋" w:hAnsi="仿宋" w:eastAsia="仿宋"/>
          <w:sz w:val="22"/>
          <w:lang w:eastAsia="zh-CN"/>
        </w:rPr>
        <w:t>。</w:t>
      </w:r>
    </w:p>
    <w:p>
      <w:pPr>
        <w:pStyle w:val="13"/>
        <w:ind w:left="-2" w:leftChars="-1" w:firstLine="0" w:firstLineChars="0"/>
        <w:rPr>
          <w:rFonts w:hint="eastAsia" w:ascii="仿宋" w:hAnsi="仿宋" w:eastAsia="仿宋"/>
          <w:sz w:val="22"/>
        </w:rPr>
      </w:pPr>
    </w:p>
    <w:p>
      <w:pPr>
        <w:pStyle w:val="13"/>
        <w:ind w:left="-2" w:leftChars="-1" w:firstLine="0" w:firstLineChars="0"/>
        <w:rPr>
          <w:rFonts w:hint="eastAsia" w:ascii="仿宋" w:hAnsi="仿宋" w:eastAsia="仿宋"/>
          <w:sz w:val="22"/>
        </w:rPr>
      </w:pPr>
    </w:p>
    <w:p>
      <w:pPr>
        <w:pStyle w:val="13"/>
        <w:ind w:left="-2" w:leftChars="-1" w:firstLine="0" w:firstLineChars="0"/>
        <w:rPr>
          <w:rFonts w:hint="eastAsia" w:ascii="仿宋" w:hAnsi="仿宋" w:eastAsia="仿宋"/>
          <w:sz w:val="22"/>
        </w:rPr>
      </w:pPr>
      <w:r>
        <w:rPr>
          <w:rFonts w:hint="eastAsia" w:ascii="仿宋" w:hAnsi="仿宋" w:eastAsia="仿宋"/>
          <w:sz w:val="22"/>
        </w:rPr>
        <w:t>特别约定名称：新住院保-老人版特别约定</w:t>
      </w:r>
    </w:p>
    <w:p>
      <w:pPr>
        <w:pStyle w:val="13"/>
        <w:ind w:left="-2" w:leftChars="-1" w:firstLine="0" w:firstLineChars="0"/>
        <w:rPr>
          <w:rFonts w:hint="eastAsia" w:ascii="仿宋" w:hAnsi="仿宋" w:eastAsia="仿宋"/>
          <w:sz w:val="22"/>
        </w:rPr>
      </w:pPr>
      <w:r>
        <w:rPr>
          <w:rFonts w:hint="eastAsia" w:ascii="仿宋" w:hAnsi="仿宋" w:eastAsia="仿宋"/>
          <w:sz w:val="22"/>
        </w:rPr>
        <w:t>特别约定内容：</w:t>
      </w:r>
    </w:p>
    <w:p>
      <w:pPr>
        <w:pStyle w:val="13"/>
        <w:numPr>
          <w:ilvl w:val="0"/>
          <w:numId w:val="12"/>
        </w:numPr>
        <w:ind w:left="-2" w:leftChars="-1" w:firstLine="0" w:firstLineChars="0"/>
        <w:rPr>
          <w:rFonts w:hint="eastAsia" w:ascii="仿宋" w:hAnsi="仿宋" w:eastAsia="仿宋"/>
          <w:sz w:val="22"/>
        </w:rPr>
      </w:pPr>
      <w:r>
        <w:rPr>
          <w:rFonts w:hint="eastAsia" w:ascii="仿宋" w:hAnsi="仿宋" w:eastAsia="仿宋"/>
          <w:sz w:val="22"/>
        </w:rPr>
        <w:t>本产品条款为《泰康在线财产保险股份有限公司人身意外伤害保险条款》、《泰康在线财产保险股份有限公司附加意外伤害医疗保险条款》及《泰康在线财产保险股份有限公司个人住院费用医疗保险（C款）条款》。其中,《泰康在线个人住院费用医疗保险（C款）条款》仅承保疾病住院医疗保险责任,《泰康在线附加意外伤害医疗保险条款》仅承保意外伤害医疗保险责任；</w:t>
      </w:r>
    </w:p>
    <w:p>
      <w:pPr>
        <w:pStyle w:val="13"/>
        <w:ind w:left="-2" w:leftChars="-1" w:firstLine="0" w:firstLineChars="0"/>
        <w:rPr>
          <w:rFonts w:hint="eastAsia" w:ascii="仿宋" w:hAnsi="仿宋" w:eastAsia="仿宋"/>
          <w:sz w:val="22"/>
        </w:rPr>
      </w:pPr>
      <w:r>
        <w:rPr>
          <w:rFonts w:hint="eastAsia" w:ascii="仿宋" w:hAnsi="仿宋" w:eastAsia="仿宋"/>
          <w:sz w:val="22"/>
        </w:rPr>
        <w:t>2.本产品意外医疗保险责任每次事故绝对免赔额100元；</w:t>
      </w:r>
    </w:p>
    <w:p>
      <w:pPr>
        <w:pStyle w:val="13"/>
        <w:ind w:left="-2" w:leftChars="-1" w:firstLine="0" w:firstLineChars="0"/>
        <w:rPr>
          <w:rFonts w:hint="eastAsia" w:ascii="仿宋" w:hAnsi="仿宋" w:eastAsia="仿宋"/>
          <w:sz w:val="22"/>
        </w:rPr>
      </w:pPr>
      <w:r>
        <w:rPr>
          <w:rFonts w:hint="eastAsia" w:ascii="仿宋" w:hAnsi="仿宋" w:eastAsia="仿宋"/>
          <w:sz w:val="22"/>
        </w:rPr>
        <w:t>3.本产品疾病住院医疗保险责任每次事故绝对免赔额500元；</w:t>
      </w:r>
    </w:p>
    <w:p>
      <w:pPr>
        <w:pStyle w:val="13"/>
        <w:ind w:left="-2" w:leftChars="-1" w:firstLine="0" w:firstLineChars="0"/>
        <w:rPr>
          <w:rFonts w:hint="eastAsia" w:ascii="仿宋" w:hAnsi="仿宋" w:eastAsia="仿宋"/>
          <w:sz w:val="22"/>
        </w:rPr>
      </w:pPr>
      <w:r>
        <w:rPr>
          <w:rFonts w:hint="eastAsia" w:ascii="仿宋" w:hAnsi="仿宋" w:eastAsia="仿宋"/>
          <w:sz w:val="22"/>
        </w:rPr>
        <w:t>4.本产品疾病住院医疗保险责任自本保险生效日起90日为等待期；</w:t>
      </w:r>
    </w:p>
    <w:p>
      <w:pPr>
        <w:pStyle w:val="13"/>
        <w:ind w:left="-2" w:leftChars="-1" w:firstLine="0" w:firstLineChars="0"/>
        <w:rPr>
          <w:rFonts w:hint="eastAsia" w:ascii="仿宋" w:hAnsi="仿宋" w:eastAsia="仿宋"/>
          <w:sz w:val="22"/>
        </w:rPr>
      </w:pPr>
      <w:r>
        <w:rPr>
          <w:rFonts w:hint="eastAsia" w:ascii="仿宋" w:hAnsi="仿宋" w:eastAsia="仿宋"/>
          <w:sz w:val="22"/>
        </w:rPr>
        <w:t>5. 本产品仅限符合《泰康在线职业代码表》中的1-4类职业人群投保；</w:t>
      </w:r>
    </w:p>
    <w:p>
      <w:pPr>
        <w:pStyle w:val="13"/>
        <w:ind w:left="-2" w:leftChars="-1" w:firstLine="0" w:firstLineChars="0"/>
        <w:rPr>
          <w:rFonts w:hint="eastAsia" w:ascii="仿宋" w:hAnsi="仿宋" w:eastAsia="仿宋"/>
          <w:sz w:val="22"/>
        </w:rPr>
      </w:pPr>
      <w:r>
        <w:rPr>
          <w:rFonts w:hint="eastAsia" w:ascii="仿宋" w:hAnsi="仿宋" w:eastAsia="仿宋"/>
          <w:sz w:val="22"/>
        </w:rPr>
        <w:t>6.</w:t>
      </w:r>
      <w:r>
        <w:rPr>
          <w:rFonts w:ascii="仿宋" w:hAnsi="仿宋" w:eastAsia="仿宋"/>
          <w:sz w:val="22"/>
        </w:rPr>
        <w:t>本产品承保的</w:t>
      </w:r>
      <w:r>
        <w:rPr>
          <w:rFonts w:hint="eastAsia" w:ascii="仿宋" w:hAnsi="仿宋" w:eastAsia="仿宋"/>
          <w:sz w:val="22"/>
        </w:rPr>
        <w:t>残疾被保险人，仅限根据《人身保险伤残评定标准》9-10级的客户；1-8级客户不能投保本产品；</w:t>
      </w:r>
    </w:p>
    <w:p>
      <w:pPr>
        <w:pStyle w:val="13"/>
        <w:ind w:left="-2" w:leftChars="-1" w:firstLine="0" w:firstLineChars="0"/>
        <w:rPr>
          <w:rFonts w:hint="eastAsia" w:ascii="仿宋" w:hAnsi="仿宋" w:eastAsia="仿宋"/>
          <w:sz w:val="22"/>
        </w:rPr>
      </w:pPr>
      <w:r>
        <w:rPr>
          <w:rFonts w:hint="eastAsia" w:ascii="仿宋" w:hAnsi="仿宋" w:eastAsia="仿宋"/>
          <w:sz w:val="22"/>
        </w:rPr>
        <w:t>7. 被保险人意外伤害医疗、疾病住院医疗保险责任。我们承担如下保险责任：</w:t>
      </w:r>
    </w:p>
    <w:p>
      <w:pPr>
        <w:pStyle w:val="13"/>
        <w:ind w:left="-2" w:leftChars="-1" w:firstLine="0" w:firstLineChars="0"/>
        <w:rPr>
          <w:rFonts w:hint="eastAsia" w:ascii="仿宋" w:hAnsi="仿宋" w:eastAsia="仿宋"/>
          <w:sz w:val="22"/>
        </w:rPr>
      </w:pPr>
      <w:r>
        <w:rPr>
          <w:rFonts w:hint="eastAsia" w:ascii="仿宋" w:hAnsi="仿宋" w:eastAsia="仿宋"/>
          <w:sz w:val="22"/>
        </w:rPr>
        <w:t>若被保险人发生的属于保险责任范围内的医疗费用未从社保或其他机构获得补偿，我们按如下公式给付疾病住院医疗/意外伤害医疗保险金：</w:t>
      </w:r>
    </w:p>
    <w:p>
      <w:pPr>
        <w:pStyle w:val="13"/>
        <w:ind w:left="-2" w:leftChars="-1" w:firstLine="0" w:firstLineChars="0"/>
        <w:rPr>
          <w:rFonts w:hint="eastAsia" w:ascii="仿宋" w:hAnsi="仿宋" w:eastAsia="仿宋"/>
          <w:sz w:val="22"/>
        </w:rPr>
      </w:pPr>
      <w:r>
        <w:rPr>
          <w:rFonts w:hint="eastAsia" w:ascii="仿宋" w:hAnsi="仿宋" w:eastAsia="仿宋"/>
          <w:sz w:val="22"/>
        </w:rPr>
        <w:t>疾病住院医疗保险金＝（社保报销范围内的医疗费用－免赔额）×80%</w:t>
      </w:r>
    </w:p>
    <w:p>
      <w:pPr>
        <w:pStyle w:val="13"/>
        <w:ind w:left="-2" w:leftChars="-1" w:firstLine="0" w:firstLineChars="0"/>
        <w:rPr>
          <w:rFonts w:hint="eastAsia" w:ascii="仿宋" w:hAnsi="仿宋" w:eastAsia="仿宋"/>
          <w:sz w:val="22"/>
        </w:rPr>
      </w:pPr>
      <w:r>
        <w:rPr>
          <w:rFonts w:hint="eastAsia" w:ascii="仿宋" w:hAnsi="仿宋" w:eastAsia="仿宋"/>
          <w:sz w:val="22"/>
        </w:rPr>
        <w:t>意外伤害医疗保险金＝（社保报销范围内的医疗费用－免赔额）×80%</w:t>
      </w:r>
    </w:p>
    <w:p>
      <w:pPr>
        <w:pStyle w:val="13"/>
        <w:ind w:left="-2" w:leftChars="-1" w:firstLine="0" w:firstLineChars="0"/>
        <w:rPr>
          <w:rFonts w:hint="eastAsia" w:ascii="仿宋" w:hAnsi="仿宋" w:eastAsia="仿宋"/>
          <w:sz w:val="22"/>
        </w:rPr>
      </w:pPr>
      <w:r>
        <w:rPr>
          <w:rFonts w:hint="eastAsia" w:ascii="仿宋" w:hAnsi="仿宋" w:eastAsia="仿宋"/>
          <w:sz w:val="22"/>
        </w:rPr>
        <w:t>若被保险人发生的属于保险责任范围内的医疗费用已从社保或其他机构获得补偿，我们按如下公式给付疾病/意外伤害医疗保险金：</w:t>
      </w:r>
    </w:p>
    <w:p>
      <w:pPr>
        <w:pStyle w:val="13"/>
        <w:ind w:left="-2" w:leftChars="-1" w:firstLine="0" w:firstLineChars="0"/>
        <w:rPr>
          <w:rFonts w:hint="eastAsia" w:ascii="仿宋" w:hAnsi="仿宋" w:eastAsia="仿宋"/>
          <w:sz w:val="22"/>
        </w:rPr>
      </w:pPr>
      <w:r>
        <w:rPr>
          <w:rFonts w:hint="eastAsia" w:ascii="仿宋" w:hAnsi="仿宋" w:eastAsia="仿宋"/>
          <w:sz w:val="22"/>
        </w:rPr>
        <w:t>疾病住院医疗保险金＝（社保报销范围内的医疗费用－已获得的医疗费用补偿－免赔额）×100%</w:t>
      </w:r>
    </w:p>
    <w:p>
      <w:pPr>
        <w:pStyle w:val="13"/>
        <w:ind w:left="-2" w:leftChars="-1" w:firstLine="0" w:firstLineChars="0"/>
        <w:rPr>
          <w:rFonts w:hint="eastAsia" w:ascii="仿宋" w:hAnsi="仿宋" w:eastAsia="仿宋"/>
          <w:sz w:val="22"/>
        </w:rPr>
      </w:pPr>
      <w:r>
        <w:rPr>
          <w:rFonts w:hint="eastAsia" w:ascii="仿宋" w:hAnsi="仿宋" w:eastAsia="仿宋"/>
          <w:sz w:val="22"/>
        </w:rPr>
        <w:t>意外伤害医疗保险金＝（社保报销范围内的医疗费用－已获得的医疗费用补偿－免赔额）×100%</w:t>
      </w:r>
    </w:p>
    <w:p>
      <w:pPr>
        <w:pStyle w:val="13"/>
        <w:ind w:left="-2" w:leftChars="-1" w:firstLine="0" w:firstLineChars="0"/>
        <w:rPr>
          <w:rFonts w:hint="eastAsia" w:ascii="仿宋" w:hAnsi="仿宋" w:eastAsia="仿宋"/>
          <w:sz w:val="22"/>
        </w:rPr>
      </w:pPr>
      <w:r>
        <w:rPr>
          <w:rFonts w:hint="eastAsia" w:ascii="仿宋" w:hAnsi="仿宋" w:eastAsia="仿宋"/>
          <w:sz w:val="22"/>
        </w:rPr>
        <w:t>8.本产品方案被保险人投保年龄为50-65（含）周岁；</w:t>
      </w:r>
    </w:p>
    <w:p>
      <w:pPr>
        <w:pStyle w:val="13"/>
        <w:ind w:left="-2" w:leftChars="-1" w:firstLine="0" w:firstLineChars="0"/>
        <w:rPr>
          <w:rFonts w:hint="eastAsia" w:ascii="仿宋" w:hAnsi="仿宋" w:eastAsia="仿宋"/>
          <w:sz w:val="22"/>
        </w:rPr>
      </w:pPr>
      <w:r>
        <w:rPr>
          <w:rFonts w:hint="eastAsia" w:ascii="仿宋" w:hAnsi="仿宋" w:eastAsia="仿宋"/>
          <w:sz w:val="22"/>
        </w:rPr>
        <w:t>9.本产品不保证续保。保险期满时，经投保人向保险人提出续保申请，并经保险人审核同意并收取保险费后，续保合同生效，续保合同具体的生效日以保险人另行签发的保险单的日期为准。上述为同一被保险人的续保合同无等待期。如本保险产品统一停售，则保险人不再接受投保人投保申请;</w:t>
      </w:r>
    </w:p>
    <w:p>
      <w:pPr>
        <w:pStyle w:val="13"/>
        <w:ind w:left="-2" w:leftChars="-1" w:firstLine="0" w:firstLineChars="0"/>
        <w:rPr>
          <w:rFonts w:ascii="仿宋" w:hAnsi="仿宋" w:eastAsia="仿宋"/>
          <w:sz w:val="22"/>
        </w:rPr>
      </w:pPr>
      <w:r>
        <w:rPr>
          <w:rFonts w:hint="eastAsia" w:ascii="仿宋" w:hAnsi="仿宋" w:eastAsia="仿宋"/>
          <w:sz w:val="22"/>
        </w:rPr>
        <w:t>10.本保险医疗相关保障限定为中华人民共和国境内合法经营的二级以上（含二级）公立医院（不含国际医疗及特需部);</w:t>
      </w:r>
    </w:p>
    <w:p>
      <w:pPr>
        <w:rPr>
          <w:rFonts w:hint="eastAsia" w:ascii="仿宋" w:hAnsi="仿宋" w:eastAsia="仿宋"/>
          <w:sz w:val="22"/>
          <w:lang w:eastAsia="zh-CN"/>
        </w:rPr>
      </w:pPr>
      <w:r>
        <w:rPr>
          <w:rFonts w:hint="eastAsia" w:ascii="仿宋" w:hAnsi="仿宋" w:eastAsia="仿宋"/>
          <w:sz w:val="22"/>
        </w:rPr>
        <w:t>11.</w:t>
      </w:r>
      <w:r>
        <w:rPr>
          <w:rFonts w:ascii="仿宋" w:hAnsi="仿宋" w:eastAsia="仿宋"/>
          <w:sz w:val="22"/>
        </w:rPr>
        <w:t xml:space="preserve"> </w:t>
      </w:r>
      <w:r>
        <w:rPr>
          <w:rFonts w:hint="eastAsia" w:ascii="仿宋" w:hAnsi="仿宋" w:eastAsia="仿宋"/>
          <w:sz w:val="22"/>
        </w:rPr>
        <w:t>本公司不承担被保险人在河北省承德市兴隆县中医院及北京市平谷区的所有医疗机构所产生的医疗保险责任（包括医疗费用报销责任及津贴型给付责任）</w:t>
      </w:r>
      <w:r>
        <w:rPr>
          <w:rFonts w:hint="eastAsia" w:ascii="仿宋" w:hAnsi="仿宋" w:eastAsia="仿宋"/>
          <w:sz w:val="22"/>
          <w:lang w:eastAsia="zh-CN"/>
        </w:rPr>
        <w:t>。</w:t>
      </w:r>
    </w:p>
    <w:p>
      <w:pPr>
        <w:rPr>
          <w:rFonts w:hint="eastAsia" w:ascii="仿宋" w:hAnsi="仿宋" w:eastAsia="仿宋"/>
          <w:sz w:val="22"/>
          <w:lang w:eastAsia="zh-CN"/>
        </w:rPr>
      </w:pPr>
    </w:p>
    <w:p>
      <w:pPr>
        <w:rPr>
          <w:rFonts w:hint="eastAsia" w:ascii="仿宋" w:hAnsi="仿宋" w:eastAsia="仿宋"/>
          <w:sz w:val="22"/>
          <w:lang w:eastAsia="zh-CN"/>
        </w:rPr>
      </w:pPr>
    </w:p>
    <w:p>
      <w:pPr>
        <w:rPr>
          <w:rFonts w:hint="eastAsia" w:ascii="仿宋" w:hAnsi="仿宋" w:eastAsia="仿宋"/>
          <w:sz w:val="22"/>
          <w:lang w:eastAsia="zh-CN"/>
        </w:rPr>
      </w:pPr>
    </w:p>
    <w:p>
      <w:pPr>
        <w:rPr>
          <w:rFonts w:hint="eastAsia" w:ascii="仿宋" w:hAnsi="仿宋" w:eastAsia="仿宋"/>
          <w:sz w:val="22"/>
          <w:lang w:eastAsia="zh-CN"/>
        </w:rPr>
      </w:pPr>
    </w:p>
    <w:p>
      <w:pPr>
        <w:rPr>
          <w:rFonts w:hint="eastAsia" w:ascii="仿宋" w:hAnsi="仿宋" w:eastAsia="仿宋"/>
          <w:sz w:val="22"/>
          <w:lang w:eastAsia="zh-CN"/>
        </w:rPr>
      </w:pPr>
    </w:p>
    <w:p>
      <w:pPr>
        <w:pStyle w:val="3"/>
        <w:ind w:left="1276" w:hanging="1276"/>
        <w:rPr>
          <w:rFonts w:hint="eastAsia"/>
          <w:b/>
        </w:rPr>
      </w:pPr>
      <w:r>
        <w:rPr>
          <w:rFonts w:hint="eastAsia"/>
        </w:rPr>
        <w:t>保费计算</w:t>
      </w:r>
      <w:bookmarkStart w:id="20" w:name="_MON_1553000283"/>
      <w:bookmarkEnd w:id="20"/>
      <w:bookmarkStart w:id="21" w:name="_MON_1553000289"/>
      <w:bookmarkEnd w:id="21"/>
    </w:p>
    <w:p>
      <w:pPr>
        <w:pStyle w:val="4"/>
        <w:ind w:left="720"/>
        <w:rPr>
          <w:rFonts w:hint="eastAsia"/>
        </w:rPr>
      </w:pPr>
      <w:bookmarkStart w:id="22" w:name="_Toc477766680"/>
      <w:bookmarkStart w:id="23" w:name="_Ref452044404"/>
      <w:r>
        <w:rPr>
          <w:rFonts w:hint="eastAsia"/>
        </w:rPr>
        <w:t>投保的保费计算公式</w:t>
      </w:r>
      <w:bookmarkEnd w:id="22"/>
      <w:bookmarkEnd w:id="23"/>
    </w:p>
    <w:p>
      <w:pPr>
        <w:pStyle w:val="13"/>
        <w:numPr>
          <w:ilvl w:val="0"/>
          <w:numId w:val="8"/>
        </w:numPr>
        <w:ind w:firstLineChars="0"/>
      </w:pPr>
      <w:r>
        <w:rPr>
          <w:rFonts w:hint="eastAsia"/>
        </w:rPr>
        <w:t>（参考计算公式：</w:t>
      </w:r>
      <w:r>
        <w:t>保额*费率*短期费率</w:t>
      </w:r>
      <w:r>
        <w:rPr>
          <w:rFonts w:hint="eastAsia"/>
        </w:rPr>
        <w:t>）</w:t>
      </w:r>
    </w:p>
    <w:p>
      <w:pPr>
        <w:pStyle w:val="13"/>
        <w:ind w:left="720" w:firstLine="0" w:firstLineChars="0"/>
      </w:pPr>
      <w:r>
        <w:rPr>
          <w:rFonts w:hint="eastAsia"/>
        </w:rPr>
        <w:t>该产品保费计算公式是否和参考计算公式一致？_____A____A</w:t>
      </w:r>
      <w:r>
        <w:t>.</w:t>
      </w:r>
      <w:r>
        <w:rPr>
          <w:rFonts w:hint="eastAsia"/>
        </w:rPr>
        <w:t xml:space="preserve">一致  </w:t>
      </w:r>
      <w:r>
        <w:t>B.</w:t>
      </w:r>
      <w:r>
        <w:rPr>
          <w:rFonts w:hint="eastAsia"/>
        </w:rPr>
        <w:t>不一</w:t>
      </w:r>
      <w:r>
        <w:t>致</w:t>
      </w:r>
      <w:r>
        <w:rPr>
          <w:rFonts w:hint="eastAsia"/>
        </w:rPr>
        <w:t>。</w:t>
      </w:r>
    </w:p>
    <w:p>
      <w:pPr>
        <w:pStyle w:val="13"/>
        <w:ind w:left="720" w:firstLine="0" w:firstLineChars="0"/>
      </w:pPr>
      <w:r>
        <w:rPr>
          <w:rFonts w:hint="eastAsia"/>
        </w:rPr>
        <w:t>如不一致，请详细列出该产品各投保险别的保费计算公式。</w:t>
      </w:r>
    </w:p>
    <w:p>
      <w:pPr>
        <w:pStyle w:val="13"/>
        <w:numPr>
          <w:ilvl w:val="0"/>
          <w:numId w:val="8"/>
        </w:numPr>
        <w:ind w:firstLineChars="0"/>
      </w:pPr>
      <w:r>
        <w:t>提供产品各险别（条款）的保额、</w:t>
      </w:r>
      <w:r>
        <w:rPr>
          <w:rFonts w:hint="eastAsia"/>
        </w:rPr>
        <w:t>费率</w:t>
      </w:r>
      <w:r>
        <w:t>，保费。</w:t>
      </w:r>
      <w:r>
        <w:rPr>
          <w:rFonts w:hint="eastAsia"/>
        </w:rPr>
        <w:t>（</w:t>
      </w:r>
      <w:r>
        <w:t>若本</w:t>
      </w:r>
      <w:r>
        <w:rPr>
          <w:rFonts w:hint="eastAsia"/>
        </w:rPr>
        <w:t>产</w:t>
      </w:r>
      <w:r>
        <w:t>品有多种</w:t>
      </w:r>
      <w:r>
        <w:rPr>
          <w:rFonts w:hint="eastAsia"/>
        </w:rPr>
        <w:t>定额</w:t>
      </w:r>
      <w:r>
        <w:t>方案，则复制下表，分别</w:t>
      </w:r>
      <w:r>
        <w:rPr>
          <w:rFonts w:hint="eastAsia"/>
        </w:rPr>
        <w:t>填写</w:t>
      </w:r>
      <w:r>
        <w:t>）</w:t>
      </w:r>
      <w:r>
        <w:rPr>
          <w:rFonts w:hint="eastAsia"/>
        </w:rPr>
        <w:t>注：无论费率为百分位（%）还是千分位（</w:t>
      </w:r>
      <w:r>
        <w:rPr>
          <w:rFonts w:hint="eastAsia"/>
          <w:b/>
          <w:color w:val="FF0000"/>
        </w:rPr>
        <w:t>‰</w:t>
      </w:r>
      <w:r>
        <w:rPr>
          <w:rFonts w:hint="eastAsia"/>
        </w:rPr>
        <w:t>），则最多保留小数点后6位。</w:t>
      </w:r>
    </w:p>
    <w:p>
      <w:pPr>
        <w:pStyle w:val="13"/>
        <w:ind w:firstLineChars="0"/>
        <w:rPr>
          <w:rFonts w:hint="eastAsia"/>
        </w:rPr>
      </w:pPr>
      <w:r>
        <w:rPr>
          <w:rFonts w:hint="eastAsia"/>
        </w:rPr>
        <w:t>（方案三、四为两个险种产品绑定为一个销售方案）</w:t>
      </w:r>
    </w:p>
    <w:p>
      <w:pPr>
        <w:pStyle w:val="13"/>
        <w:ind w:firstLineChars="0"/>
        <w:rPr>
          <w:rFonts w:hint="eastAsia"/>
          <w:b/>
        </w:rPr>
      </w:pPr>
      <w:r>
        <w:rPr>
          <w:rFonts w:hint="eastAsia"/>
          <w:b/>
        </w:rPr>
        <w:t>销售方案一（新方案新保和新方案</w:t>
      </w:r>
      <w:r>
        <w:rPr>
          <w:rFonts w:hint="eastAsia"/>
          <w:b/>
          <w:lang w:eastAsia="zh-CN"/>
        </w:rPr>
        <w:t>续保</w:t>
      </w:r>
      <w:r>
        <w:rPr>
          <w:rFonts w:hint="eastAsia"/>
          <w:b/>
        </w:rPr>
        <w:t>）：</w:t>
      </w:r>
    </w:p>
    <w:p>
      <w:pPr>
        <w:rPr>
          <w:rFonts w:hint="eastAsia"/>
          <w:b/>
        </w:rPr>
      </w:pPr>
      <w:r>
        <w:rPr>
          <w:rFonts w:hint="eastAsia"/>
          <w:b/>
        </w:rPr>
        <w:t xml:space="preserve"> </w:t>
      </w:r>
    </w:p>
    <w:tbl>
      <w:tblPr>
        <w:tblStyle w:val="11"/>
        <w:tblW w:w="9973" w:type="dxa"/>
        <w:tblInd w:w="0" w:type="dxa"/>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
      <w:tblGrid>
        <w:gridCol w:w="1105"/>
        <w:gridCol w:w="1133"/>
        <w:gridCol w:w="1556"/>
        <w:gridCol w:w="1290"/>
        <w:gridCol w:w="1048"/>
        <w:gridCol w:w="1048"/>
        <w:gridCol w:w="1048"/>
        <w:gridCol w:w="915"/>
        <w:gridCol w:w="830"/>
      </w:tblGrid>
      <w:tr>
        <w:tblPrEx>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Ex>
        <w:tc>
          <w:tcPr>
            <w:tcW w:w="1105" w:type="dxa"/>
            <w:shd w:val="clear" w:color="auto" w:fill="BCE1C0"/>
            <w:vAlign w:val="center"/>
          </w:tcPr>
          <w:p>
            <w:pPr>
              <w:rPr>
                <w:sz w:val="20"/>
                <w:szCs w:val="20"/>
              </w:rPr>
            </w:pPr>
            <w:r>
              <w:rPr>
                <w:rFonts w:hint="eastAsia"/>
                <w:sz w:val="20"/>
                <w:szCs w:val="20"/>
              </w:rPr>
              <w:t>销售方案</w:t>
            </w:r>
            <w:r>
              <w:rPr>
                <w:sz w:val="20"/>
                <w:szCs w:val="20"/>
              </w:rPr>
              <w:t>代码</w:t>
            </w:r>
            <w:r>
              <w:rPr>
                <w:rFonts w:hint="eastAsia"/>
                <w:sz w:val="20"/>
                <w:szCs w:val="20"/>
              </w:rPr>
              <w:t>及名称</w:t>
            </w:r>
          </w:p>
        </w:tc>
        <w:tc>
          <w:tcPr>
            <w:tcW w:w="1133" w:type="dxa"/>
            <w:shd w:val="clear" w:color="auto" w:fill="BCE1C0"/>
            <w:vAlign w:val="center"/>
          </w:tcPr>
          <w:p>
            <w:pPr>
              <w:rPr>
                <w:sz w:val="20"/>
                <w:szCs w:val="20"/>
              </w:rPr>
            </w:pPr>
            <w:r>
              <w:rPr>
                <w:rFonts w:hint="eastAsia"/>
                <w:sz w:val="20"/>
                <w:szCs w:val="20"/>
              </w:rPr>
              <w:t>定额</w:t>
            </w:r>
            <w:r>
              <w:rPr>
                <w:sz w:val="20"/>
                <w:szCs w:val="20"/>
              </w:rPr>
              <w:t>方案代码</w:t>
            </w:r>
            <w:r>
              <w:rPr>
                <w:rFonts w:hint="eastAsia"/>
                <w:sz w:val="20"/>
                <w:szCs w:val="20"/>
              </w:rPr>
              <w:t>及名称</w:t>
            </w:r>
          </w:p>
        </w:tc>
        <w:tc>
          <w:tcPr>
            <w:tcW w:w="1556" w:type="dxa"/>
            <w:shd w:val="clear" w:color="auto" w:fill="BCE1C0"/>
            <w:vAlign w:val="center"/>
          </w:tcPr>
          <w:p>
            <w:pPr>
              <w:rPr>
                <w:sz w:val="20"/>
                <w:szCs w:val="20"/>
              </w:rPr>
            </w:pPr>
            <w:r>
              <w:rPr>
                <w:rFonts w:hint="eastAsia"/>
                <w:sz w:val="20"/>
                <w:szCs w:val="20"/>
              </w:rPr>
              <w:t>险</w:t>
            </w:r>
            <w:r>
              <w:rPr>
                <w:sz w:val="20"/>
                <w:szCs w:val="20"/>
              </w:rPr>
              <w:t>别（条款）</w:t>
            </w:r>
            <w:r>
              <w:rPr>
                <w:rFonts w:hint="eastAsia"/>
                <w:sz w:val="20"/>
                <w:szCs w:val="20"/>
              </w:rPr>
              <w:t>代码</w:t>
            </w:r>
          </w:p>
        </w:tc>
        <w:tc>
          <w:tcPr>
            <w:tcW w:w="1290" w:type="dxa"/>
            <w:shd w:val="clear" w:color="auto" w:fill="BCE1C0"/>
            <w:vAlign w:val="center"/>
          </w:tcPr>
          <w:p>
            <w:pPr>
              <w:rPr>
                <w:sz w:val="20"/>
                <w:szCs w:val="20"/>
              </w:rPr>
            </w:pPr>
            <w:r>
              <w:rPr>
                <w:rFonts w:hint="eastAsia"/>
                <w:sz w:val="20"/>
                <w:szCs w:val="20"/>
              </w:rPr>
              <w:t>险</w:t>
            </w:r>
            <w:r>
              <w:rPr>
                <w:sz w:val="20"/>
                <w:szCs w:val="20"/>
              </w:rPr>
              <w:t>别（条款）</w:t>
            </w:r>
            <w:r>
              <w:rPr>
                <w:rFonts w:hint="eastAsia"/>
                <w:sz w:val="20"/>
                <w:szCs w:val="20"/>
              </w:rPr>
              <w:t>名称</w:t>
            </w:r>
          </w:p>
        </w:tc>
        <w:tc>
          <w:tcPr>
            <w:tcW w:w="1048" w:type="dxa"/>
            <w:shd w:val="clear" w:color="auto" w:fill="F1F1F1"/>
            <w:vAlign w:val="center"/>
          </w:tcPr>
          <w:p>
            <w:pPr>
              <w:jc w:val="center"/>
              <w:rPr>
                <w:rFonts w:hint="eastAsia"/>
                <w:sz w:val="20"/>
                <w:szCs w:val="20"/>
              </w:rPr>
            </w:pPr>
            <w:r>
              <w:rPr>
                <w:rFonts w:hint="eastAsia"/>
                <w:b/>
              </w:rPr>
              <w:t>意外等待期</w:t>
            </w:r>
          </w:p>
        </w:tc>
        <w:tc>
          <w:tcPr>
            <w:tcW w:w="1048" w:type="dxa"/>
            <w:shd w:val="clear" w:color="auto" w:fill="F1F1F1"/>
            <w:vAlign w:val="center"/>
          </w:tcPr>
          <w:p>
            <w:pPr>
              <w:jc w:val="center"/>
              <w:rPr>
                <w:rFonts w:hint="eastAsia"/>
                <w:sz w:val="20"/>
                <w:szCs w:val="20"/>
              </w:rPr>
            </w:pPr>
            <w:r>
              <w:rPr>
                <w:rFonts w:hint="eastAsia"/>
                <w:b/>
              </w:rPr>
              <w:t>非意外等待期</w:t>
            </w:r>
          </w:p>
        </w:tc>
        <w:tc>
          <w:tcPr>
            <w:tcW w:w="1048" w:type="dxa"/>
            <w:shd w:val="clear" w:color="auto" w:fill="BCE1C0"/>
            <w:vAlign w:val="center"/>
          </w:tcPr>
          <w:p>
            <w:pPr>
              <w:rPr>
                <w:sz w:val="20"/>
                <w:szCs w:val="20"/>
              </w:rPr>
            </w:pPr>
            <w:r>
              <w:rPr>
                <w:rFonts w:hint="eastAsia"/>
                <w:sz w:val="20"/>
                <w:szCs w:val="20"/>
              </w:rPr>
              <w:t>保</w:t>
            </w:r>
            <w:r>
              <w:rPr>
                <w:sz w:val="20"/>
                <w:szCs w:val="20"/>
              </w:rPr>
              <w:t>额</w:t>
            </w:r>
            <w:r>
              <w:rPr>
                <w:rFonts w:hint="eastAsia"/>
                <w:sz w:val="20"/>
                <w:szCs w:val="20"/>
              </w:rPr>
              <w:t>（元</w:t>
            </w:r>
            <w:r>
              <w:rPr>
                <w:sz w:val="20"/>
                <w:szCs w:val="20"/>
              </w:rPr>
              <w:t>）</w:t>
            </w:r>
          </w:p>
        </w:tc>
        <w:tc>
          <w:tcPr>
            <w:tcW w:w="915" w:type="dxa"/>
            <w:shd w:val="clear" w:color="auto" w:fill="BCE1C0"/>
            <w:vAlign w:val="center"/>
          </w:tcPr>
          <w:p>
            <w:pPr>
              <w:rPr>
                <w:sz w:val="20"/>
                <w:szCs w:val="20"/>
              </w:rPr>
            </w:pPr>
            <w:r>
              <w:rPr>
                <w:rFonts w:hint="eastAsia"/>
                <w:sz w:val="20"/>
                <w:szCs w:val="20"/>
              </w:rPr>
              <w:t>费率</w:t>
            </w:r>
          </w:p>
          <w:p>
            <w:pPr>
              <w:rPr>
                <w:sz w:val="20"/>
                <w:szCs w:val="20"/>
              </w:rPr>
            </w:pPr>
            <w:r>
              <w:rPr>
                <w:rFonts w:hint="eastAsia"/>
                <w:sz w:val="20"/>
                <w:szCs w:val="20"/>
              </w:rPr>
              <w:t>（</w:t>
            </w:r>
            <w:r>
              <w:rPr>
                <w:rFonts w:hint="eastAsia"/>
                <w:color w:val="FF0000"/>
                <w:sz w:val="20"/>
                <w:szCs w:val="20"/>
              </w:rPr>
              <w:t>‰</w:t>
            </w:r>
            <w:r>
              <w:rPr>
                <w:sz w:val="20"/>
                <w:szCs w:val="20"/>
              </w:rPr>
              <w:t>）</w:t>
            </w:r>
          </w:p>
        </w:tc>
        <w:tc>
          <w:tcPr>
            <w:tcW w:w="830" w:type="dxa"/>
            <w:shd w:val="clear" w:color="auto" w:fill="BCE1C0"/>
            <w:vAlign w:val="center"/>
          </w:tcPr>
          <w:p>
            <w:pPr>
              <w:rPr>
                <w:sz w:val="20"/>
                <w:szCs w:val="20"/>
              </w:rPr>
            </w:pPr>
            <w:r>
              <w:rPr>
                <w:rFonts w:hint="eastAsia"/>
                <w:sz w:val="20"/>
                <w:szCs w:val="20"/>
              </w:rPr>
              <w:t>保</w:t>
            </w:r>
            <w:r>
              <w:rPr>
                <w:sz w:val="20"/>
                <w:szCs w:val="20"/>
              </w:rPr>
              <w:t>费</w:t>
            </w:r>
            <w:r>
              <w:rPr>
                <w:rFonts w:hint="eastAsia"/>
                <w:sz w:val="20"/>
                <w:szCs w:val="20"/>
              </w:rPr>
              <w:t>（元</w:t>
            </w:r>
            <w:r>
              <w:rPr>
                <w:sz w:val="20"/>
                <w:szCs w:val="20"/>
              </w:rPr>
              <w:t>）</w:t>
            </w:r>
          </w:p>
        </w:tc>
      </w:tr>
      <w:tr>
        <w:tblPrEx>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Ex>
        <w:tc>
          <w:tcPr>
            <w:tcW w:w="1105" w:type="dxa"/>
            <w:vMerge w:val="restart"/>
            <w:vAlign w:val="center"/>
          </w:tcPr>
          <w:p>
            <w:pPr>
              <w:pStyle w:val="6"/>
              <w:rPr>
                <w:rFonts w:hint="eastAsia" w:hAnsi="宋体"/>
                <w:kern w:val="2"/>
                <w:szCs w:val="20"/>
                <w:lang w:val="en-US" w:eastAsia="zh-CN"/>
              </w:rPr>
            </w:pPr>
            <w:r>
              <w:rPr>
                <w:rFonts w:hint="eastAsia" w:hAnsi="宋体"/>
                <w:kern w:val="2"/>
                <w:szCs w:val="20"/>
              </w:rPr>
              <w:t>S20190158</w:t>
            </w:r>
            <w:r>
              <w:rPr>
                <w:rFonts w:hint="eastAsia" w:hAnsi="宋体"/>
                <w:kern w:val="2"/>
                <w:szCs w:val="20"/>
                <w:lang w:val="en-US" w:eastAsia="zh-CN"/>
              </w:rPr>
              <w:t>泰康住院保2019版</w:t>
            </w:r>
          </w:p>
        </w:tc>
        <w:tc>
          <w:tcPr>
            <w:tcW w:w="1133" w:type="dxa"/>
            <w:vMerge w:val="restart"/>
            <w:vAlign w:val="center"/>
          </w:tcPr>
          <w:p>
            <w:pPr>
              <w:rPr>
                <w:sz w:val="20"/>
                <w:szCs w:val="20"/>
              </w:rPr>
            </w:pPr>
            <w:r>
              <w:rPr>
                <w:rFonts w:hint="eastAsia"/>
                <w:szCs w:val="20"/>
              </w:rPr>
              <w:t>1307A03P01住院保综合险2019版</w:t>
            </w:r>
          </w:p>
        </w:tc>
        <w:tc>
          <w:tcPr>
            <w:tcW w:w="1556" w:type="dxa"/>
            <w:vAlign w:val="center"/>
          </w:tcPr>
          <w:p>
            <w:pPr>
              <w:widowControl/>
              <w:spacing w:line="240" w:lineRule="auto"/>
              <w:rPr>
                <w:rFonts w:ascii="Times New Roman" w:hAnsi="Times New Roman"/>
                <w:color w:val="4BACC6"/>
                <w:kern w:val="0"/>
                <w:sz w:val="20"/>
                <w:szCs w:val="20"/>
              </w:rPr>
            </w:pPr>
            <w:r>
              <w:rPr>
                <w:rFonts w:hint="eastAsia" w:cs="宋体"/>
                <w:color w:val="000000"/>
                <w:kern w:val="0"/>
                <w:sz w:val="22"/>
                <w:szCs w:val="22"/>
              </w:rPr>
              <w:t>1122031</w:t>
            </w:r>
          </w:p>
        </w:tc>
        <w:tc>
          <w:tcPr>
            <w:tcW w:w="1290" w:type="dxa"/>
            <w:vAlign w:val="center"/>
          </w:tcPr>
          <w:p>
            <w:pPr>
              <w:pStyle w:val="6"/>
              <w:rPr>
                <w:rFonts w:hAnsi="宋体"/>
                <w:kern w:val="2"/>
                <w:szCs w:val="20"/>
                <w:highlight w:val="yellow"/>
                <w:lang w:val="en-US" w:eastAsia="zh-CN"/>
              </w:rPr>
            </w:pPr>
            <w:r>
              <w:rPr>
                <w:rFonts w:hint="eastAsia" w:hAnsi="宋体"/>
                <w:kern w:val="2"/>
                <w:szCs w:val="20"/>
                <w:lang w:val="en-US" w:eastAsia="zh-CN"/>
              </w:rPr>
              <w:t>人身意外伤害身故</w:t>
            </w:r>
            <w:r>
              <w:rPr>
                <w:rFonts w:hAnsi="宋体"/>
                <w:kern w:val="2"/>
                <w:szCs w:val="20"/>
                <w:lang w:val="en-US" w:eastAsia="zh-CN"/>
              </w:rPr>
              <w:t>/伤残保险</w:t>
            </w: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Merge w:val="restart"/>
            <w:vAlign w:val="center"/>
          </w:tcPr>
          <w:p>
            <w:pPr>
              <w:widowControl/>
              <w:jc w:val="right"/>
              <w:textAlignment w:val="center"/>
              <w:rPr>
                <w:rFonts w:hint="eastAsia"/>
                <w:sz w:val="20"/>
                <w:szCs w:val="20"/>
              </w:rPr>
            </w:pPr>
            <w:r>
              <w:rPr>
                <w:rFonts w:hint="eastAsia"/>
                <w:sz w:val="20"/>
                <w:szCs w:val="20"/>
              </w:rPr>
              <w:t>传入</w:t>
            </w:r>
          </w:p>
        </w:tc>
        <w:tc>
          <w:tcPr>
            <w:tcW w:w="915" w:type="dxa"/>
            <w:vMerge w:val="restart"/>
            <w:vAlign w:val="center"/>
          </w:tcPr>
          <w:p>
            <w:pPr>
              <w:widowControl/>
              <w:spacing w:line="240" w:lineRule="auto"/>
              <w:jc w:val="center"/>
              <w:rPr>
                <w:rFonts w:hint="eastAsia" w:cs="宋体"/>
                <w:color w:val="000000"/>
                <w:kern w:val="0"/>
                <w:sz w:val="18"/>
                <w:szCs w:val="18"/>
              </w:rPr>
            </w:pPr>
            <w:r>
              <w:rPr>
                <w:rFonts w:hint="eastAsia" w:cs="宋体"/>
                <w:color w:val="000000"/>
                <w:kern w:val="0"/>
                <w:sz w:val="18"/>
                <w:szCs w:val="18"/>
              </w:rPr>
              <w:t>保费/保额</w:t>
            </w:r>
          </w:p>
          <w:p>
            <w:pPr>
              <w:widowControl/>
              <w:spacing w:line="240" w:lineRule="auto"/>
              <w:jc w:val="center"/>
              <w:rPr>
                <w:sz w:val="20"/>
                <w:szCs w:val="20"/>
              </w:rPr>
            </w:pPr>
            <w:r>
              <w:rPr>
                <w:rFonts w:hint="eastAsia" w:cs="宋体"/>
                <w:color w:val="000000"/>
                <w:kern w:val="0"/>
                <w:sz w:val="18"/>
                <w:szCs w:val="18"/>
              </w:rPr>
              <w:t>详见2.7.1章节测算表-费率表</w:t>
            </w:r>
          </w:p>
        </w:tc>
        <w:tc>
          <w:tcPr>
            <w:tcW w:w="830" w:type="dxa"/>
            <w:vMerge w:val="restart"/>
            <w:vAlign w:val="center"/>
          </w:tcPr>
          <w:p>
            <w:pPr>
              <w:widowControl/>
              <w:spacing w:line="240" w:lineRule="auto"/>
              <w:jc w:val="center"/>
              <w:rPr>
                <w:sz w:val="20"/>
                <w:szCs w:val="20"/>
              </w:rPr>
            </w:pPr>
            <w:r>
              <w:rPr>
                <w:rFonts w:hint="eastAsia" w:cs="宋体"/>
                <w:color w:val="000000"/>
                <w:kern w:val="0"/>
                <w:sz w:val="18"/>
                <w:szCs w:val="18"/>
              </w:rPr>
              <w:t>传入</w:t>
            </w:r>
          </w:p>
        </w:tc>
      </w:tr>
      <w:tr>
        <w:tblPrEx>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Ex>
        <w:tc>
          <w:tcPr>
            <w:tcW w:w="1105" w:type="dxa"/>
            <w:vMerge w:val="continue"/>
            <w:vAlign w:val="center"/>
          </w:tcPr>
          <w:p>
            <w:pPr>
              <w:pStyle w:val="6"/>
              <w:rPr>
                <w:rFonts w:hAnsi="宋体"/>
                <w:kern w:val="2"/>
                <w:szCs w:val="20"/>
                <w:lang w:val="en-US" w:eastAsia="zh-CN"/>
              </w:rPr>
            </w:pPr>
          </w:p>
        </w:tc>
        <w:tc>
          <w:tcPr>
            <w:tcW w:w="1133" w:type="dxa"/>
            <w:vMerge w:val="continue"/>
            <w:vAlign w:val="center"/>
          </w:tcPr>
          <w:p>
            <w:pPr>
              <w:rPr>
                <w:sz w:val="20"/>
                <w:szCs w:val="20"/>
              </w:rPr>
            </w:pPr>
          </w:p>
        </w:tc>
        <w:tc>
          <w:tcPr>
            <w:tcW w:w="1556" w:type="dxa"/>
            <w:vAlign w:val="center"/>
          </w:tcPr>
          <w:p>
            <w:pPr>
              <w:rPr>
                <w:rFonts w:ascii="Times New Roman" w:hAnsi="Times New Roman"/>
                <w:color w:val="4BACC6"/>
                <w:sz w:val="20"/>
                <w:szCs w:val="20"/>
              </w:rPr>
            </w:pPr>
            <w:r>
              <w:rPr>
                <w:rFonts w:hint="eastAsia" w:cs="宋体"/>
                <w:color w:val="000000"/>
                <w:kern w:val="0"/>
                <w:sz w:val="22"/>
                <w:szCs w:val="22"/>
              </w:rPr>
              <w:t>1122032</w:t>
            </w:r>
          </w:p>
        </w:tc>
        <w:tc>
          <w:tcPr>
            <w:tcW w:w="1290" w:type="dxa"/>
            <w:vAlign w:val="center"/>
          </w:tcPr>
          <w:p>
            <w:pPr>
              <w:pStyle w:val="6"/>
              <w:rPr>
                <w:rFonts w:hAnsi="宋体"/>
                <w:kern w:val="2"/>
                <w:szCs w:val="20"/>
                <w:lang w:val="en-US" w:eastAsia="zh-CN"/>
              </w:rPr>
            </w:pPr>
            <w:r>
              <w:rPr>
                <w:rFonts w:hint="eastAsia" w:hAnsi="宋体"/>
                <w:kern w:val="2"/>
                <w:szCs w:val="20"/>
                <w:lang w:val="en-US" w:eastAsia="zh-CN"/>
              </w:rPr>
              <w:t>附加意外伤害医疗保险</w:t>
            </w: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Merge w:val="continue"/>
            <w:vAlign w:val="center"/>
          </w:tcPr>
          <w:p>
            <w:pPr>
              <w:widowControl/>
              <w:jc w:val="right"/>
              <w:textAlignment w:val="center"/>
              <w:rPr>
                <w:sz w:val="20"/>
                <w:szCs w:val="20"/>
              </w:rPr>
            </w:pPr>
          </w:p>
        </w:tc>
        <w:tc>
          <w:tcPr>
            <w:tcW w:w="915" w:type="dxa"/>
            <w:vMerge w:val="continue"/>
            <w:vAlign w:val="center"/>
          </w:tcPr>
          <w:p>
            <w:pPr>
              <w:widowControl/>
              <w:jc w:val="right"/>
              <w:textAlignment w:val="center"/>
              <w:rPr>
                <w:sz w:val="20"/>
                <w:szCs w:val="20"/>
              </w:rPr>
            </w:pPr>
          </w:p>
        </w:tc>
        <w:tc>
          <w:tcPr>
            <w:tcW w:w="830" w:type="dxa"/>
            <w:vMerge w:val="continue"/>
            <w:vAlign w:val="center"/>
          </w:tcPr>
          <w:p>
            <w:pPr>
              <w:widowControl/>
              <w:jc w:val="right"/>
              <w:textAlignment w:val="center"/>
              <w:rPr>
                <w:sz w:val="20"/>
                <w:szCs w:val="20"/>
              </w:rPr>
            </w:pPr>
          </w:p>
        </w:tc>
      </w:tr>
      <w:tr>
        <w:tblPrEx>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Ex>
        <w:tc>
          <w:tcPr>
            <w:tcW w:w="1105" w:type="dxa"/>
            <w:vMerge w:val="continue"/>
            <w:vAlign w:val="center"/>
          </w:tcPr>
          <w:p>
            <w:pPr>
              <w:pStyle w:val="6"/>
              <w:rPr>
                <w:rFonts w:hAnsi="宋体"/>
                <w:kern w:val="2"/>
                <w:szCs w:val="20"/>
                <w:lang w:val="en-US" w:eastAsia="zh-CN"/>
              </w:rPr>
            </w:pPr>
          </w:p>
        </w:tc>
        <w:tc>
          <w:tcPr>
            <w:tcW w:w="1133" w:type="dxa"/>
            <w:vMerge w:val="continue"/>
            <w:vAlign w:val="center"/>
          </w:tcPr>
          <w:p/>
        </w:tc>
        <w:tc>
          <w:tcPr>
            <w:tcW w:w="1556" w:type="dxa"/>
            <w:vAlign w:val="center"/>
          </w:tcPr>
          <w:p>
            <w:pPr>
              <w:rPr>
                <w:rFonts w:ascii="Times New Roman" w:hAnsi="Times New Roman"/>
                <w:color w:val="4BACC6"/>
                <w:sz w:val="20"/>
                <w:szCs w:val="20"/>
              </w:rPr>
            </w:pPr>
            <w:r>
              <w:rPr>
                <w:rFonts w:ascii="Times New Roman" w:hAnsi="Times New Roman"/>
                <w:color w:val="4BACC6"/>
                <w:sz w:val="20"/>
                <w:szCs w:val="20"/>
              </w:rPr>
              <w:t>100019</w:t>
            </w:r>
          </w:p>
        </w:tc>
        <w:tc>
          <w:tcPr>
            <w:tcW w:w="1290" w:type="dxa"/>
            <w:vAlign w:val="center"/>
          </w:tcPr>
          <w:p>
            <w:pPr>
              <w:pStyle w:val="6"/>
              <w:rPr>
                <w:rFonts w:hAnsi="宋体"/>
                <w:kern w:val="2"/>
                <w:szCs w:val="20"/>
                <w:highlight w:val="yellow"/>
                <w:lang w:val="en-US" w:eastAsia="zh-CN"/>
              </w:rPr>
            </w:pPr>
            <w:r>
              <w:rPr>
                <w:rFonts w:hint="eastAsia" w:hAnsi="宋体"/>
                <w:kern w:val="2"/>
                <w:szCs w:val="20"/>
                <w:lang w:val="en-US" w:eastAsia="zh-CN"/>
              </w:rPr>
              <w:t>疾病住院医疗保险</w:t>
            </w:r>
            <w:r>
              <w:rPr>
                <w:rFonts w:hAnsi="宋体"/>
                <w:kern w:val="2"/>
                <w:szCs w:val="20"/>
                <w:lang w:val="en-US" w:eastAsia="zh-CN"/>
              </w:rPr>
              <w:tab/>
            </w: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新保:90</w:t>
            </w:r>
          </w:p>
          <w:p>
            <w:pPr>
              <w:widowControl/>
              <w:spacing w:line="240" w:lineRule="auto"/>
              <w:rPr>
                <w:rFonts w:hint="eastAsia"/>
                <w:szCs w:val="20"/>
              </w:rPr>
            </w:pPr>
          </w:p>
        </w:tc>
        <w:tc>
          <w:tcPr>
            <w:tcW w:w="1048" w:type="dxa"/>
            <w:vMerge w:val="continue"/>
            <w:vAlign w:val="center"/>
          </w:tcPr>
          <w:p>
            <w:pPr>
              <w:widowControl/>
              <w:jc w:val="right"/>
              <w:textAlignment w:val="center"/>
              <w:rPr>
                <w:sz w:val="20"/>
                <w:szCs w:val="20"/>
              </w:rPr>
            </w:pPr>
          </w:p>
        </w:tc>
        <w:tc>
          <w:tcPr>
            <w:tcW w:w="915" w:type="dxa"/>
            <w:vMerge w:val="continue"/>
            <w:vAlign w:val="center"/>
          </w:tcPr>
          <w:p>
            <w:pPr>
              <w:widowControl/>
              <w:jc w:val="right"/>
              <w:textAlignment w:val="center"/>
              <w:rPr>
                <w:sz w:val="20"/>
                <w:szCs w:val="20"/>
              </w:rPr>
            </w:pPr>
          </w:p>
        </w:tc>
        <w:tc>
          <w:tcPr>
            <w:tcW w:w="830" w:type="dxa"/>
            <w:vMerge w:val="continue"/>
            <w:vAlign w:val="center"/>
          </w:tcPr>
          <w:p>
            <w:pPr>
              <w:widowControl/>
              <w:jc w:val="right"/>
              <w:textAlignment w:val="center"/>
              <w:rPr>
                <w:sz w:val="20"/>
                <w:szCs w:val="20"/>
              </w:rPr>
            </w:pPr>
          </w:p>
        </w:tc>
      </w:tr>
    </w:tbl>
    <w:p>
      <w:pPr>
        <w:ind w:firstLine="422" w:firstLineChars="200"/>
        <w:rPr>
          <w:rFonts w:hint="eastAsia"/>
          <w:b/>
        </w:rPr>
      </w:pPr>
      <w:bookmarkStart w:id="24" w:name="_Toc477766681"/>
    </w:p>
    <w:p>
      <w:pPr>
        <w:ind w:firstLine="422" w:firstLineChars="200"/>
        <w:rPr>
          <w:rFonts w:hint="eastAsia"/>
          <w:b/>
        </w:rPr>
      </w:pPr>
      <w:r>
        <w:rPr>
          <w:rFonts w:hint="eastAsia"/>
          <w:b/>
        </w:rPr>
        <w:t>销售方案二（原2018版续保2019和2018版）</w:t>
      </w:r>
      <w:bookmarkStart w:id="45" w:name="_GoBack"/>
      <w:bookmarkEnd w:id="45"/>
    </w:p>
    <w:tbl>
      <w:tblPr>
        <w:tblStyle w:val="11"/>
        <w:tblW w:w="9973" w:type="dxa"/>
        <w:tblInd w:w="0" w:type="dxa"/>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
      <w:tblGrid>
        <w:gridCol w:w="1105"/>
        <w:gridCol w:w="1133"/>
        <w:gridCol w:w="1556"/>
        <w:gridCol w:w="1290"/>
        <w:gridCol w:w="1048"/>
        <w:gridCol w:w="1048"/>
        <w:gridCol w:w="1048"/>
        <w:gridCol w:w="915"/>
        <w:gridCol w:w="830"/>
      </w:tblGrid>
      <w:tr>
        <w:tblPrEx>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Ex>
        <w:tc>
          <w:tcPr>
            <w:tcW w:w="1105" w:type="dxa"/>
            <w:shd w:val="clear" w:color="auto" w:fill="BCE1C0"/>
            <w:vAlign w:val="center"/>
          </w:tcPr>
          <w:p>
            <w:pPr>
              <w:rPr>
                <w:sz w:val="20"/>
                <w:szCs w:val="20"/>
              </w:rPr>
            </w:pPr>
            <w:r>
              <w:rPr>
                <w:rFonts w:hint="eastAsia"/>
                <w:sz w:val="20"/>
                <w:szCs w:val="20"/>
              </w:rPr>
              <w:t>销售方案</w:t>
            </w:r>
            <w:r>
              <w:rPr>
                <w:sz w:val="20"/>
                <w:szCs w:val="20"/>
              </w:rPr>
              <w:t>代码</w:t>
            </w:r>
            <w:r>
              <w:rPr>
                <w:rFonts w:hint="eastAsia"/>
                <w:sz w:val="20"/>
                <w:szCs w:val="20"/>
              </w:rPr>
              <w:t>及名称</w:t>
            </w:r>
          </w:p>
        </w:tc>
        <w:tc>
          <w:tcPr>
            <w:tcW w:w="1133" w:type="dxa"/>
            <w:shd w:val="clear" w:color="auto" w:fill="BCE1C0"/>
            <w:vAlign w:val="center"/>
          </w:tcPr>
          <w:p>
            <w:pPr>
              <w:rPr>
                <w:sz w:val="20"/>
                <w:szCs w:val="20"/>
              </w:rPr>
            </w:pPr>
            <w:r>
              <w:rPr>
                <w:rFonts w:hint="eastAsia"/>
                <w:sz w:val="20"/>
                <w:szCs w:val="20"/>
              </w:rPr>
              <w:t>定额</w:t>
            </w:r>
            <w:r>
              <w:rPr>
                <w:sz w:val="20"/>
                <w:szCs w:val="20"/>
              </w:rPr>
              <w:t>方案代码</w:t>
            </w:r>
            <w:r>
              <w:rPr>
                <w:rFonts w:hint="eastAsia"/>
                <w:sz w:val="20"/>
                <w:szCs w:val="20"/>
              </w:rPr>
              <w:t>及名称</w:t>
            </w:r>
          </w:p>
        </w:tc>
        <w:tc>
          <w:tcPr>
            <w:tcW w:w="1556" w:type="dxa"/>
            <w:shd w:val="clear" w:color="auto" w:fill="BCE1C0"/>
            <w:vAlign w:val="center"/>
          </w:tcPr>
          <w:p>
            <w:pPr>
              <w:rPr>
                <w:sz w:val="20"/>
                <w:szCs w:val="20"/>
              </w:rPr>
            </w:pPr>
            <w:r>
              <w:rPr>
                <w:rFonts w:hint="eastAsia"/>
                <w:sz w:val="20"/>
                <w:szCs w:val="20"/>
              </w:rPr>
              <w:t>险</w:t>
            </w:r>
            <w:r>
              <w:rPr>
                <w:sz w:val="20"/>
                <w:szCs w:val="20"/>
              </w:rPr>
              <w:t>别（条款）</w:t>
            </w:r>
            <w:r>
              <w:rPr>
                <w:rFonts w:hint="eastAsia"/>
                <w:sz w:val="20"/>
                <w:szCs w:val="20"/>
              </w:rPr>
              <w:t>代码</w:t>
            </w:r>
          </w:p>
        </w:tc>
        <w:tc>
          <w:tcPr>
            <w:tcW w:w="1290" w:type="dxa"/>
            <w:shd w:val="clear" w:color="auto" w:fill="BCE1C0"/>
            <w:vAlign w:val="center"/>
          </w:tcPr>
          <w:p>
            <w:pPr>
              <w:rPr>
                <w:sz w:val="20"/>
                <w:szCs w:val="20"/>
              </w:rPr>
            </w:pPr>
            <w:r>
              <w:rPr>
                <w:rFonts w:hint="eastAsia"/>
                <w:sz w:val="20"/>
                <w:szCs w:val="20"/>
              </w:rPr>
              <w:t>险</w:t>
            </w:r>
            <w:r>
              <w:rPr>
                <w:sz w:val="20"/>
                <w:szCs w:val="20"/>
              </w:rPr>
              <w:t>别（条款）</w:t>
            </w:r>
            <w:r>
              <w:rPr>
                <w:rFonts w:hint="eastAsia"/>
                <w:sz w:val="20"/>
                <w:szCs w:val="20"/>
              </w:rPr>
              <w:t>名称</w:t>
            </w:r>
          </w:p>
        </w:tc>
        <w:tc>
          <w:tcPr>
            <w:tcW w:w="1048" w:type="dxa"/>
            <w:shd w:val="clear" w:color="auto" w:fill="F1F1F1"/>
            <w:vAlign w:val="center"/>
          </w:tcPr>
          <w:p>
            <w:pPr>
              <w:jc w:val="center"/>
              <w:rPr>
                <w:rFonts w:hint="eastAsia"/>
                <w:sz w:val="20"/>
                <w:szCs w:val="20"/>
              </w:rPr>
            </w:pPr>
            <w:r>
              <w:rPr>
                <w:rFonts w:hint="eastAsia"/>
                <w:b/>
              </w:rPr>
              <w:t>意外等待期</w:t>
            </w:r>
          </w:p>
        </w:tc>
        <w:tc>
          <w:tcPr>
            <w:tcW w:w="1048" w:type="dxa"/>
            <w:shd w:val="clear" w:color="auto" w:fill="F1F1F1"/>
            <w:vAlign w:val="center"/>
          </w:tcPr>
          <w:p>
            <w:pPr>
              <w:jc w:val="center"/>
              <w:rPr>
                <w:rFonts w:hint="eastAsia"/>
                <w:sz w:val="20"/>
                <w:szCs w:val="20"/>
              </w:rPr>
            </w:pPr>
            <w:r>
              <w:rPr>
                <w:rFonts w:hint="eastAsia"/>
                <w:b/>
              </w:rPr>
              <w:t>非意外等待期</w:t>
            </w:r>
          </w:p>
        </w:tc>
        <w:tc>
          <w:tcPr>
            <w:tcW w:w="1048" w:type="dxa"/>
            <w:shd w:val="clear" w:color="auto" w:fill="BCE1C0"/>
            <w:vAlign w:val="center"/>
          </w:tcPr>
          <w:p>
            <w:pPr>
              <w:rPr>
                <w:sz w:val="20"/>
                <w:szCs w:val="20"/>
              </w:rPr>
            </w:pPr>
            <w:r>
              <w:rPr>
                <w:rFonts w:hint="eastAsia"/>
                <w:sz w:val="20"/>
                <w:szCs w:val="20"/>
              </w:rPr>
              <w:t>保</w:t>
            </w:r>
            <w:r>
              <w:rPr>
                <w:sz w:val="20"/>
                <w:szCs w:val="20"/>
              </w:rPr>
              <w:t>额</w:t>
            </w:r>
            <w:r>
              <w:rPr>
                <w:rFonts w:hint="eastAsia"/>
                <w:sz w:val="20"/>
                <w:szCs w:val="20"/>
              </w:rPr>
              <w:t>（元</w:t>
            </w:r>
            <w:r>
              <w:rPr>
                <w:sz w:val="20"/>
                <w:szCs w:val="20"/>
              </w:rPr>
              <w:t>）</w:t>
            </w:r>
          </w:p>
        </w:tc>
        <w:tc>
          <w:tcPr>
            <w:tcW w:w="915" w:type="dxa"/>
            <w:shd w:val="clear" w:color="auto" w:fill="BCE1C0"/>
            <w:vAlign w:val="center"/>
          </w:tcPr>
          <w:p>
            <w:pPr>
              <w:rPr>
                <w:sz w:val="20"/>
                <w:szCs w:val="20"/>
              </w:rPr>
            </w:pPr>
            <w:r>
              <w:rPr>
                <w:rFonts w:hint="eastAsia"/>
                <w:sz w:val="20"/>
                <w:szCs w:val="20"/>
              </w:rPr>
              <w:t>费率</w:t>
            </w:r>
          </w:p>
          <w:p>
            <w:pPr>
              <w:rPr>
                <w:sz w:val="20"/>
                <w:szCs w:val="20"/>
              </w:rPr>
            </w:pPr>
            <w:r>
              <w:rPr>
                <w:rFonts w:hint="eastAsia"/>
                <w:sz w:val="20"/>
                <w:szCs w:val="20"/>
              </w:rPr>
              <w:t>（</w:t>
            </w:r>
            <w:r>
              <w:rPr>
                <w:rFonts w:hint="eastAsia"/>
                <w:color w:val="FF0000"/>
                <w:sz w:val="20"/>
                <w:szCs w:val="20"/>
              </w:rPr>
              <w:t>‰</w:t>
            </w:r>
            <w:r>
              <w:rPr>
                <w:sz w:val="20"/>
                <w:szCs w:val="20"/>
              </w:rPr>
              <w:t>）</w:t>
            </w:r>
          </w:p>
        </w:tc>
        <w:tc>
          <w:tcPr>
            <w:tcW w:w="830" w:type="dxa"/>
            <w:shd w:val="clear" w:color="auto" w:fill="BCE1C0"/>
            <w:vAlign w:val="center"/>
          </w:tcPr>
          <w:p>
            <w:pPr>
              <w:rPr>
                <w:sz w:val="20"/>
                <w:szCs w:val="20"/>
              </w:rPr>
            </w:pPr>
            <w:r>
              <w:rPr>
                <w:rFonts w:hint="eastAsia"/>
                <w:sz w:val="20"/>
                <w:szCs w:val="20"/>
              </w:rPr>
              <w:t>保</w:t>
            </w:r>
            <w:r>
              <w:rPr>
                <w:sz w:val="20"/>
                <w:szCs w:val="20"/>
              </w:rPr>
              <w:t>费</w:t>
            </w:r>
            <w:r>
              <w:rPr>
                <w:rFonts w:hint="eastAsia"/>
                <w:sz w:val="20"/>
                <w:szCs w:val="20"/>
              </w:rPr>
              <w:t>（元</w:t>
            </w:r>
            <w:r>
              <w:rPr>
                <w:sz w:val="20"/>
                <w:szCs w:val="20"/>
              </w:rPr>
              <w:t>）</w:t>
            </w:r>
          </w:p>
        </w:tc>
      </w:tr>
      <w:tr>
        <w:tblPrEx>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Ex>
        <w:tc>
          <w:tcPr>
            <w:tcW w:w="1105" w:type="dxa"/>
            <w:vMerge w:val="restart"/>
            <w:vAlign w:val="center"/>
          </w:tcPr>
          <w:p>
            <w:pPr>
              <w:pStyle w:val="6"/>
              <w:rPr>
                <w:rFonts w:hAnsi="宋体"/>
                <w:kern w:val="2"/>
                <w:szCs w:val="20"/>
                <w:lang w:val="en-US" w:eastAsia="zh-CN"/>
              </w:rPr>
            </w:pPr>
            <w:r>
              <w:rPr>
                <w:rFonts w:hint="eastAsia" w:hAnsi="宋体"/>
                <w:kern w:val="2"/>
                <w:szCs w:val="20"/>
              </w:rPr>
              <w:t>S2019015</w:t>
            </w:r>
            <w:r>
              <w:rPr>
                <w:rFonts w:hint="eastAsia" w:hAnsi="宋体"/>
                <w:kern w:val="2"/>
                <w:szCs w:val="20"/>
                <w:lang w:val="en-US" w:eastAsia="zh-CN"/>
              </w:rPr>
              <w:t>9泰康住院保2019版</w:t>
            </w:r>
          </w:p>
        </w:tc>
        <w:tc>
          <w:tcPr>
            <w:tcW w:w="1133" w:type="dxa"/>
            <w:vMerge w:val="restart"/>
            <w:vAlign w:val="center"/>
          </w:tcPr>
          <w:p>
            <w:pPr>
              <w:rPr>
                <w:rFonts w:hint="eastAsia"/>
                <w:sz w:val="20"/>
                <w:szCs w:val="20"/>
              </w:rPr>
            </w:pPr>
            <w:r>
              <w:rPr>
                <w:rFonts w:hint="eastAsia"/>
                <w:szCs w:val="20"/>
              </w:rPr>
              <w:t>1307A03Q01住院保综合险2019版续保</w:t>
            </w:r>
          </w:p>
        </w:tc>
        <w:tc>
          <w:tcPr>
            <w:tcW w:w="1556" w:type="dxa"/>
            <w:vAlign w:val="center"/>
          </w:tcPr>
          <w:p>
            <w:pPr>
              <w:widowControl/>
              <w:spacing w:line="240" w:lineRule="auto"/>
              <w:rPr>
                <w:rFonts w:ascii="Times New Roman" w:hAnsi="Times New Roman"/>
                <w:color w:val="4BACC6"/>
                <w:kern w:val="0"/>
                <w:sz w:val="20"/>
                <w:szCs w:val="20"/>
              </w:rPr>
            </w:pPr>
            <w:r>
              <w:rPr>
                <w:rFonts w:hint="eastAsia" w:cs="宋体"/>
                <w:color w:val="000000"/>
                <w:kern w:val="0"/>
                <w:sz w:val="22"/>
                <w:szCs w:val="22"/>
              </w:rPr>
              <w:t>1122031</w:t>
            </w:r>
          </w:p>
        </w:tc>
        <w:tc>
          <w:tcPr>
            <w:tcW w:w="1290" w:type="dxa"/>
            <w:vAlign w:val="center"/>
          </w:tcPr>
          <w:p>
            <w:pPr>
              <w:pStyle w:val="6"/>
              <w:rPr>
                <w:rFonts w:hAnsi="宋体"/>
                <w:kern w:val="2"/>
                <w:szCs w:val="20"/>
                <w:highlight w:val="yellow"/>
                <w:lang w:val="en-US" w:eastAsia="zh-CN"/>
              </w:rPr>
            </w:pPr>
            <w:r>
              <w:rPr>
                <w:rFonts w:hint="eastAsia" w:hAnsi="宋体"/>
                <w:kern w:val="2"/>
                <w:szCs w:val="20"/>
                <w:lang w:val="en-US" w:eastAsia="zh-CN"/>
              </w:rPr>
              <w:t>人身意外伤害身故</w:t>
            </w:r>
            <w:r>
              <w:rPr>
                <w:rFonts w:hAnsi="宋体"/>
                <w:kern w:val="2"/>
                <w:szCs w:val="20"/>
                <w:lang w:val="en-US" w:eastAsia="zh-CN"/>
              </w:rPr>
              <w:t>/伤残保险</w:t>
            </w: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Merge w:val="restart"/>
            <w:vAlign w:val="center"/>
          </w:tcPr>
          <w:p>
            <w:pPr>
              <w:widowControl/>
              <w:jc w:val="right"/>
              <w:textAlignment w:val="center"/>
              <w:rPr>
                <w:rFonts w:hint="eastAsia"/>
                <w:sz w:val="20"/>
                <w:szCs w:val="20"/>
              </w:rPr>
            </w:pPr>
            <w:r>
              <w:rPr>
                <w:rFonts w:hint="eastAsia"/>
                <w:sz w:val="20"/>
                <w:szCs w:val="20"/>
              </w:rPr>
              <w:t>传入</w:t>
            </w:r>
          </w:p>
        </w:tc>
        <w:tc>
          <w:tcPr>
            <w:tcW w:w="915" w:type="dxa"/>
            <w:vMerge w:val="restart"/>
            <w:vAlign w:val="center"/>
          </w:tcPr>
          <w:p>
            <w:pPr>
              <w:widowControl/>
              <w:spacing w:line="240" w:lineRule="auto"/>
              <w:jc w:val="center"/>
              <w:rPr>
                <w:rFonts w:hint="eastAsia" w:cs="宋体"/>
                <w:color w:val="000000"/>
                <w:kern w:val="0"/>
                <w:sz w:val="18"/>
                <w:szCs w:val="18"/>
              </w:rPr>
            </w:pPr>
            <w:r>
              <w:rPr>
                <w:rFonts w:hint="eastAsia" w:cs="宋体"/>
                <w:color w:val="000000"/>
                <w:kern w:val="0"/>
                <w:sz w:val="18"/>
                <w:szCs w:val="18"/>
              </w:rPr>
              <w:t>保费/保额</w:t>
            </w:r>
          </w:p>
          <w:p>
            <w:pPr>
              <w:widowControl/>
              <w:spacing w:line="240" w:lineRule="auto"/>
              <w:jc w:val="center"/>
              <w:rPr>
                <w:sz w:val="20"/>
                <w:szCs w:val="20"/>
              </w:rPr>
            </w:pPr>
            <w:r>
              <w:rPr>
                <w:rFonts w:hint="eastAsia" w:cs="宋体"/>
                <w:color w:val="000000"/>
                <w:kern w:val="0"/>
                <w:sz w:val="18"/>
                <w:szCs w:val="18"/>
              </w:rPr>
              <w:t>详见2.7.1章节测算表-费率表</w:t>
            </w:r>
          </w:p>
        </w:tc>
        <w:tc>
          <w:tcPr>
            <w:tcW w:w="830" w:type="dxa"/>
            <w:vMerge w:val="restart"/>
            <w:vAlign w:val="center"/>
          </w:tcPr>
          <w:p>
            <w:pPr>
              <w:widowControl/>
              <w:spacing w:line="240" w:lineRule="auto"/>
              <w:jc w:val="center"/>
              <w:rPr>
                <w:sz w:val="20"/>
                <w:szCs w:val="20"/>
              </w:rPr>
            </w:pPr>
            <w:r>
              <w:rPr>
                <w:rFonts w:hint="eastAsia" w:cs="宋体"/>
                <w:color w:val="000000"/>
                <w:kern w:val="0"/>
                <w:sz w:val="18"/>
                <w:szCs w:val="18"/>
              </w:rPr>
              <w:t>传入</w:t>
            </w:r>
          </w:p>
        </w:tc>
      </w:tr>
      <w:tr>
        <w:tblPrEx>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Ex>
        <w:tc>
          <w:tcPr>
            <w:tcW w:w="1105" w:type="dxa"/>
            <w:vMerge w:val="continue"/>
            <w:vAlign w:val="center"/>
          </w:tcPr>
          <w:p>
            <w:pPr>
              <w:pStyle w:val="6"/>
              <w:rPr>
                <w:rFonts w:hAnsi="宋体"/>
                <w:kern w:val="2"/>
                <w:szCs w:val="20"/>
                <w:lang w:val="en-US" w:eastAsia="zh-CN"/>
              </w:rPr>
            </w:pPr>
          </w:p>
        </w:tc>
        <w:tc>
          <w:tcPr>
            <w:tcW w:w="1133" w:type="dxa"/>
            <w:vMerge w:val="continue"/>
            <w:vAlign w:val="center"/>
          </w:tcPr>
          <w:p>
            <w:pPr>
              <w:rPr>
                <w:sz w:val="20"/>
                <w:szCs w:val="20"/>
              </w:rPr>
            </w:pPr>
          </w:p>
        </w:tc>
        <w:tc>
          <w:tcPr>
            <w:tcW w:w="1556" w:type="dxa"/>
            <w:vAlign w:val="center"/>
          </w:tcPr>
          <w:p>
            <w:pPr>
              <w:rPr>
                <w:rFonts w:ascii="Times New Roman" w:hAnsi="Times New Roman"/>
                <w:color w:val="4BACC6"/>
                <w:sz w:val="20"/>
                <w:szCs w:val="20"/>
              </w:rPr>
            </w:pPr>
            <w:r>
              <w:rPr>
                <w:rFonts w:hint="eastAsia" w:cs="宋体"/>
                <w:color w:val="000000"/>
                <w:kern w:val="0"/>
                <w:sz w:val="22"/>
                <w:szCs w:val="22"/>
              </w:rPr>
              <w:t>1122032</w:t>
            </w:r>
          </w:p>
        </w:tc>
        <w:tc>
          <w:tcPr>
            <w:tcW w:w="1290" w:type="dxa"/>
            <w:vAlign w:val="center"/>
          </w:tcPr>
          <w:p>
            <w:pPr>
              <w:pStyle w:val="6"/>
              <w:rPr>
                <w:rFonts w:hAnsi="宋体"/>
                <w:kern w:val="2"/>
                <w:szCs w:val="20"/>
                <w:lang w:val="en-US" w:eastAsia="zh-CN"/>
              </w:rPr>
            </w:pPr>
            <w:r>
              <w:rPr>
                <w:rFonts w:hint="eastAsia" w:hAnsi="宋体"/>
                <w:kern w:val="2"/>
                <w:szCs w:val="20"/>
                <w:lang w:val="en-US" w:eastAsia="zh-CN"/>
              </w:rPr>
              <w:t>附加意外伤害医疗保险</w:t>
            </w: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Merge w:val="continue"/>
            <w:vAlign w:val="center"/>
          </w:tcPr>
          <w:p>
            <w:pPr>
              <w:widowControl/>
              <w:jc w:val="right"/>
              <w:textAlignment w:val="center"/>
              <w:rPr>
                <w:sz w:val="20"/>
                <w:szCs w:val="20"/>
              </w:rPr>
            </w:pPr>
          </w:p>
        </w:tc>
        <w:tc>
          <w:tcPr>
            <w:tcW w:w="915" w:type="dxa"/>
            <w:vMerge w:val="continue"/>
            <w:vAlign w:val="center"/>
          </w:tcPr>
          <w:p>
            <w:pPr>
              <w:widowControl/>
              <w:jc w:val="right"/>
              <w:textAlignment w:val="center"/>
              <w:rPr>
                <w:sz w:val="20"/>
                <w:szCs w:val="20"/>
              </w:rPr>
            </w:pPr>
          </w:p>
        </w:tc>
        <w:tc>
          <w:tcPr>
            <w:tcW w:w="830" w:type="dxa"/>
            <w:vMerge w:val="continue"/>
            <w:vAlign w:val="center"/>
          </w:tcPr>
          <w:p>
            <w:pPr>
              <w:widowControl/>
              <w:jc w:val="right"/>
              <w:textAlignment w:val="center"/>
              <w:rPr>
                <w:sz w:val="20"/>
                <w:szCs w:val="20"/>
              </w:rPr>
            </w:pPr>
          </w:p>
        </w:tc>
      </w:tr>
      <w:tr>
        <w:tblPrEx>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Ex>
        <w:tc>
          <w:tcPr>
            <w:tcW w:w="1105" w:type="dxa"/>
            <w:vMerge w:val="continue"/>
            <w:vAlign w:val="center"/>
          </w:tcPr>
          <w:p>
            <w:pPr>
              <w:pStyle w:val="6"/>
              <w:rPr>
                <w:rFonts w:hAnsi="宋体"/>
                <w:kern w:val="2"/>
                <w:szCs w:val="20"/>
                <w:lang w:val="en-US" w:eastAsia="zh-CN"/>
              </w:rPr>
            </w:pPr>
          </w:p>
        </w:tc>
        <w:tc>
          <w:tcPr>
            <w:tcW w:w="1133" w:type="dxa"/>
            <w:vMerge w:val="continue"/>
            <w:vAlign w:val="center"/>
          </w:tcPr>
          <w:p/>
        </w:tc>
        <w:tc>
          <w:tcPr>
            <w:tcW w:w="1556" w:type="dxa"/>
            <w:vAlign w:val="center"/>
          </w:tcPr>
          <w:p>
            <w:pPr>
              <w:rPr>
                <w:rFonts w:ascii="Times New Roman" w:hAnsi="Times New Roman"/>
                <w:color w:val="4BACC6"/>
                <w:sz w:val="20"/>
                <w:szCs w:val="20"/>
              </w:rPr>
            </w:pPr>
            <w:r>
              <w:rPr>
                <w:rFonts w:ascii="Times New Roman" w:hAnsi="Times New Roman"/>
                <w:color w:val="4BACC6"/>
                <w:sz w:val="20"/>
                <w:szCs w:val="20"/>
              </w:rPr>
              <w:t>100019</w:t>
            </w:r>
          </w:p>
        </w:tc>
        <w:tc>
          <w:tcPr>
            <w:tcW w:w="1290" w:type="dxa"/>
            <w:vAlign w:val="center"/>
          </w:tcPr>
          <w:p>
            <w:pPr>
              <w:pStyle w:val="6"/>
              <w:rPr>
                <w:rFonts w:hAnsi="宋体"/>
                <w:kern w:val="2"/>
                <w:szCs w:val="20"/>
                <w:highlight w:val="yellow"/>
                <w:lang w:val="en-US" w:eastAsia="zh-CN"/>
              </w:rPr>
            </w:pPr>
            <w:r>
              <w:rPr>
                <w:rFonts w:hint="eastAsia" w:hAnsi="宋体"/>
                <w:kern w:val="2"/>
                <w:szCs w:val="20"/>
                <w:lang w:val="en-US" w:eastAsia="zh-CN"/>
              </w:rPr>
              <w:t>疾病住院医疗保险</w:t>
            </w:r>
            <w:r>
              <w:rPr>
                <w:rFonts w:hAnsi="宋体"/>
                <w:kern w:val="2"/>
                <w:szCs w:val="20"/>
                <w:lang w:val="en-US" w:eastAsia="zh-CN"/>
              </w:rPr>
              <w:tab/>
            </w: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新保:90</w:t>
            </w:r>
          </w:p>
          <w:p>
            <w:pPr>
              <w:widowControl/>
              <w:spacing w:line="240" w:lineRule="auto"/>
              <w:rPr>
                <w:rFonts w:hint="eastAsia"/>
                <w:szCs w:val="20"/>
              </w:rPr>
            </w:pPr>
          </w:p>
        </w:tc>
        <w:tc>
          <w:tcPr>
            <w:tcW w:w="1048" w:type="dxa"/>
            <w:vMerge w:val="continue"/>
            <w:vAlign w:val="center"/>
          </w:tcPr>
          <w:p>
            <w:pPr>
              <w:widowControl/>
              <w:jc w:val="right"/>
              <w:textAlignment w:val="center"/>
              <w:rPr>
                <w:sz w:val="20"/>
                <w:szCs w:val="20"/>
              </w:rPr>
            </w:pPr>
          </w:p>
        </w:tc>
        <w:tc>
          <w:tcPr>
            <w:tcW w:w="915" w:type="dxa"/>
            <w:vMerge w:val="continue"/>
            <w:vAlign w:val="center"/>
          </w:tcPr>
          <w:p>
            <w:pPr>
              <w:widowControl/>
              <w:jc w:val="right"/>
              <w:textAlignment w:val="center"/>
              <w:rPr>
                <w:sz w:val="20"/>
                <w:szCs w:val="20"/>
              </w:rPr>
            </w:pPr>
          </w:p>
        </w:tc>
        <w:tc>
          <w:tcPr>
            <w:tcW w:w="830" w:type="dxa"/>
            <w:vMerge w:val="continue"/>
            <w:vAlign w:val="center"/>
          </w:tcPr>
          <w:p>
            <w:pPr>
              <w:widowControl/>
              <w:jc w:val="right"/>
              <w:textAlignment w:val="center"/>
              <w:rPr>
                <w:sz w:val="20"/>
                <w:szCs w:val="20"/>
              </w:rPr>
            </w:pPr>
          </w:p>
        </w:tc>
      </w:tr>
      <w:tr>
        <w:tblPrEx>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Ex>
        <w:tc>
          <w:tcPr>
            <w:tcW w:w="1105" w:type="dxa"/>
            <w:vMerge w:val="continue"/>
            <w:vAlign w:val="center"/>
          </w:tcPr>
          <w:p>
            <w:pPr>
              <w:pStyle w:val="6"/>
              <w:rPr>
                <w:rFonts w:hAnsi="宋体"/>
                <w:kern w:val="2"/>
                <w:szCs w:val="20"/>
                <w:lang w:val="en-US" w:eastAsia="zh-CN"/>
              </w:rPr>
            </w:pPr>
          </w:p>
        </w:tc>
        <w:tc>
          <w:tcPr>
            <w:tcW w:w="1133" w:type="dxa"/>
            <w:vMerge w:val="restart"/>
            <w:vAlign w:val="center"/>
          </w:tcPr>
          <w:p>
            <w:r>
              <w:rPr>
                <w:rFonts w:hint="eastAsia"/>
                <w:szCs w:val="20"/>
              </w:rPr>
              <w:t>1307A03Q0</w:t>
            </w:r>
            <w:r>
              <w:rPr>
                <w:rFonts w:hint="eastAsia"/>
                <w:szCs w:val="20"/>
                <w:lang w:val="en-US" w:eastAsia="zh-CN"/>
              </w:rPr>
              <w:t>2</w:t>
            </w:r>
            <w:r>
              <w:rPr>
                <w:rFonts w:hint="eastAsia"/>
                <w:szCs w:val="20"/>
              </w:rPr>
              <w:t>住院保综合险2018版续保</w:t>
            </w:r>
          </w:p>
        </w:tc>
        <w:tc>
          <w:tcPr>
            <w:tcW w:w="1556" w:type="dxa"/>
            <w:vAlign w:val="center"/>
          </w:tcPr>
          <w:p>
            <w:pPr>
              <w:widowControl/>
              <w:spacing w:line="240" w:lineRule="auto"/>
              <w:rPr>
                <w:rFonts w:ascii="Times New Roman" w:hAnsi="Times New Roman"/>
                <w:color w:val="4BACC6"/>
                <w:sz w:val="20"/>
                <w:szCs w:val="20"/>
              </w:rPr>
            </w:pPr>
            <w:r>
              <w:rPr>
                <w:rFonts w:hint="eastAsia" w:cs="宋体"/>
                <w:color w:val="000000"/>
                <w:kern w:val="0"/>
                <w:sz w:val="22"/>
                <w:szCs w:val="22"/>
              </w:rPr>
              <w:t>1122031</w:t>
            </w:r>
          </w:p>
        </w:tc>
        <w:tc>
          <w:tcPr>
            <w:tcW w:w="1290" w:type="dxa"/>
            <w:vAlign w:val="center"/>
          </w:tcPr>
          <w:p>
            <w:pPr>
              <w:pStyle w:val="6"/>
              <w:rPr>
                <w:rFonts w:hint="eastAsia" w:hAnsi="宋体"/>
                <w:kern w:val="2"/>
                <w:szCs w:val="20"/>
                <w:lang w:val="en-US" w:eastAsia="zh-CN"/>
              </w:rPr>
            </w:pPr>
            <w:r>
              <w:rPr>
                <w:rFonts w:hint="eastAsia" w:hAnsi="宋体"/>
                <w:kern w:val="2"/>
                <w:szCs w:val="20"/>
                <w:lang w:val="en-US" w:eastAsia="zh-CN"/>
              </w:rPr>
              <w:t>人身意外伤害身故</w:t>
            </w:r>
            <w:r>
              <w:rPr>
                <w:rFonts w:hAnsi="宋体"/>
                <w:kern w:val="2"/>
                <w:szCs w:val="20"/>
                <w:lang w:val="en-US" w:eastAsia="zh-CN"/>
              </w:rPr>
              <w:t>/伤残保险</w:t>
            </w: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Merge w:val="restart"/>
            <w:vAlign w:val="center"/>
          </w:tcPr>
          <w:p>
            <w:pPr>
              <w:widowControl/>
              <w:jc w:val="right"/>
              <w:textAlignment w:val="center"/>
              <w:rPr>
                <w:sz w:val="20"/>
                <w:szCs w:val="20"/>
              </w:rPr>
            </w:pPr>
            <w:r>
              <w:rPr>
                <w:rFonts w:hint="eastAsia"/>
                <w:sz w:val="20"/>
                <w:szCs w:val="20"/>
              </w:rPr>
              <w:t>传入</w:t>
            </w:r>
          </w:p>
        </w:tc>
        <w:tc>
          <w:tcPr>
            <w:tcW w:w="915" w:type="dxa"/>
            <w:vMerge w:val="restart"/>
            <w:vAlign w:val="center"/>
          </w:tcPr>
          <w:p>
            <w:pPr>
              <w:widowControl/>
              <w:spacing w:line="240" w:lineRule="auto"/>
              <w:jc w:val="center"/>
              <w:rPr>
                <w:rFonts w:hint="eastAsia" w:cs="宋体"/>
                <w:color w:val="000000"/>
                <w:kern w:val="0"/>
                <w:sz w:val="18"/>
                <w:szCs w:val="18"/>
              </w:rPr>
            </w:pPr>
            <w:r>
              <w:rPr>
                <w:rFonts w:hint="eastAsia" w:cs="宋体"/>
                <w:color w:val="000000"/>
                <w:kern w:val="0"/>
                <w:sz w:val="18"/>
                <w:szCs w:val="18"/>
              </w:rPr>
              <w:t>保费/保额</w:t>
            </w:r>
          </w:p>
          <w:p>
            <w:pPr>
              <w:widowControl/>
              <w:spacing w:line="240" w:lineRule="auto"/>
              <w:jc w:val="center"/>
              <w:rPr>
                <w:sz w:val="20"/>
                <w:szCs w:val="20"/>
              </w:rPr>
            </w:pPr>
            <w:r>
              <w:rPr>
                <w:rFonts w:hint="eastAsia" w:cs="宋体"/>
                <w:color w:val="000000"/>
                <w:kern w:val="0"/>
                <w:sz w:val="18"/>
                <w:szCs w:val="18"/>
              </w:rPr>
              <w:t>详见2.7.1章节测算表-费率表</w:t>
            </w:r>
          </w:p>
        </w:tc>
        <w:tc>
          <w:tcPr>
            <w:tcW w:w="830" w:type="dxa"/>
            <w:vMerge w:val="restart"/>
            <w:vAlign w:val="center"/>
          </w:tcPr>
          <w:p>
            <w:pPr>
              <w:widowControl/>
              <w:spacing w:line="240" w:lineRule="auto"/>
              <w:jc w:val="center"/>
              <w:rPr>
                <w:sz w:val="20"/>
                <w:szCs w:val="20"/>
              </w:rPr>
            </w:pPr>
            <w:r>
              <w:rPr>
                <w:rFonts w:hint="eastAsia" w:cs="宋体"/>
                <w:color w:val="000000"/>
                <w:kern w:val="0"/>
                <w:sz w:val="18"/>
                <w:szCs w:val="18"/>
              </w:rPr>
              <w:t>传入</w:t>
            </w:r>
          </w:p>
        </w:tc>
      </w:tr>
      <w:tr>
        <w:tblPrEx>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Ex>
        <w:tc>
          <w:tcPr>
            <w:tcW w:w="1105" w:type="dxa"/>
            <w:vMerge w:val="continue"/>
            <w:vAlign w:val="center"/>
          </w:tcPr>
          <w:p>
            <w:pPr>
              <w:pStyle w:val="6"/>
              <w:rPr>
                <w:rFonts w:hAnsi="宋体"/>
                <w:kern w:val="2"/>
                <w:szCs w:val="20"/>
                <w:lang w:val="en-US" w:eastAsia="zh-CN"/>
              </w:rPr>
            </w:pPr>
          </w:p>
        </w:tc>
        <w:tc>
          <w:tcPr>
            <w:tcW w:w="1133" w:type="dxa"/>
            <w:vMerge w:val="continue"/>
            <w:vAlign w:val="center"/>
          </w:tcPr>
          <w:p/>
        </w:tc>
        <w:tc>
          <w:tcPr>
            <w:tcW w:w="1556" w:type="dxa"/>
            <w:vAlign w:val="center"/>
          </w:tcPr>
          <w:p>
            <w:pPr>
              <w:rPr>
                <w:rFonts w:ascii="Times New Roman" w:hAnsi="Times New Roman"/>
                <w:color w:val="4BACC6"/>
                <w:sz w:val="20"/>
                <w:szCs w:val="20"/>
              </w:rPr>
            </w:pPr>
            <w:r>
              <w:rPr>
                <w:rFonts w:hint="eastAsia" w:cs="宋体"/>
                <w:color w:val="000000"/>
                <w:kern w:val="0"/>
                <w:sz w:val="22"/>
                <w:szCs w:val="22"/>
              </w:rPr>
              <w:t>1122032</w:t>
            </w:r>
          </w:p>
        </w:tc>
        <w:tc>
          <w:tcPr>
            <w:tcW w:w="1290" w:type="dxa"/>
            <w:vAlign w:val="center"/>
          </w:tcPr>
          <w:p>
            <w:pPr>
              <w:pStyle w:val="6"/>
              <w:rPr>
                <w:rFonts w:hint="eastAsia" w:hAnsi="宋体"/>
                <w:kern w:val="2"/>
                <w:szCs w:val="20"/>
                <w:lang w:val="en-US" w:eastAsia="zh-CN"/>
              </w:rPr>
            </w:pPr>
            <w:r>
              <w:rPr>
                <w:rFonts w:hint="eastAsia" w:hAnsi="宋体"/>
                <w:kern w:val="2"/>
                <w:szCs w:val="20"/>
                <w:lang w:val="en-US" w:eastAsia="zh-CN"/>
              </w:rPr>
              <w:t>附加意外伤害医疗保险</w:t>
            </w: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Merge w:val="continue"/>
            <w:vAlign w:val="center"/>
          </w:tcPr>
          <w:p>
            <w:pPr>
              <w:widowControl/>
              <w:jc w:val="right"/>
              <w:textAlignment w:val="center"/>
              <w:rPr>
                <w:sz w:val="20"/>
                <w:szCs w:val="20"/>
              </w:rPr>
            </w:pPr>
          </w:p>
        </w:tc>
        <w:tc>
          <w:tcPr>
            <w:tcW w:w="915" w:type="dxa"/>
            <w:vMerge w:val="continue"/>
            <w:vAlign w:val="center"/>
          </w:tcPr>
          <w:p>
            <w:pPr>
              <w:widowControl/>
              <w:jc w:val="right"/>
              <w:textAlignment w:val="center"/>
              <w:rPr>
                <w:sz w:val="20"/>
                <w:szCs w:val="20"/>
              </w:rPr>
            </w:pPr>
          </w:p>
        </w:tc>
        <w:tc>
          <w:tcPr>
            <w:tcW w:w="830" w:type="dxa"/>
            <w:vMerge w:val="continue"/>
            <w:vAlign w:val="center"/>
          </w:tcPr>
          <w:p>
            <w:pPr>
              <w:widowControl/>
              <w:jc w:val="right"/>
              <w:textAlignment w:val="center"/>
              <w:rPr>
                <w:sz w:val="20"/>
                <w:szCs w:val="20"/>
              </w:rPr>
            </w:pPr>
          </w:p>
        </w:tc>
      </w:tr>
      <w:tr>
        <w:tblPrEx>
          <w:tblBorders>
            <w:top w:val="single" w:color="63B86C" w:sz="4" w:space="0"/>
            <w:left w:val="single" w:color="63B86C" w:sz="4" w:space="0"/>
            <w:bottom w:val="single" w:color="63B86C" w:sz="4" w:space="0"/>
            <w:right w:val="single" w:color="63B86C" w:sz="4" w:space="0"/>
            <w:insideH w:val="single" w:color="63B86C" w:sz="4" w:space="0"/>
            <w:insideV w:val="single" w:color="63B86C" w:sz="4" w:space="0"/>
          </w:tblBorders>
          <w:tblLayout w:type="fixed"/>
          <w:tblCellMar>
            <w:top w:w="0" w:type="dxa"/>
            <w:left w:w="108" w:type="dxa"/>
            <w:bottom w:w="0" w:type="dxa"/>
            <w:right w:w="108" w:type="dxa"/>
          </w:tblCellMar>
        </w:tblPrEx>
        <w:tc>
          <w:tcPr>
            <w:tcW w:w="1105" w:type="dxa"/>
            <w:vMerge w:val="continue"/>
            <w:vAlign w:val="center"/>
          </w:tcPr>
          <w:p>
            <w:pPr>
              <w:pStyle w:val="6"/>
              <w:rPr>
                <w:rFonts w:hAnsi="宋体"/>
                <w:kern w:val="2"/>
                <w:szCs w:val="20"/>
                <w:lang w:val="en-US" w:eastAsia="zh-CN"/>
              </w:rPr>
            </w:pPr>
          </w:p>
        </w:tc>
        <w:tc>
          <w:tcPr>
            <w:tcW w:w="1133" w:type="dxa"/>
            <w:vMerge w:val="continue"/>
            <w:vAlign w:val="center"/>
          </w:tcPr>
          <w:p/>
        </w:tc>
        <w:tc>
          <w:tcPr>
            <w:tcW w:w="1556" w:type="dxa"/>
            <w:vAlign w:val="center"/>
          </w:tcPr>
          <w:p>
            <w:pPr>
              <w:rPr>
                <w:rFonts w:ascii="Times New Roman" w:hAnsi="Times New Roman"/>
                <w:color w:val="4BACC6"/>
                <w:sz w:val="20"/>
                <w:szCs w:val="20"/>
              </w:rPr>
            </w:pPr>
            <w:r>
              <w:rPr>
                <w:rFonts w:ascii="Times New Roman" w:hAnsi="Times New Roman"/>
                <w:color w:val="4BACC6"/>
                <w:sz w:val="20"/>
                <w:szCs w:val="20"/>
              </w:rPr>
              <w:t>100019</w:t>
            </w:r>
          </w:p>
        </w:tc>
        <w:tc>
          <w:tcPr>
            <w:tcW w:w="1290" w:type="dxa"/>
            <w:vAlign w:val="center"/>
          </w:tcPr>
          <w:p>
            <w:pPr>
              <w:pStyle w:val="6"/>
              <w:rPr>
                <w:rFonts w:hint="eastAsia" w:hAnsi="宋体"/>
                <w:kern w:val="2"/>
                <w:szCs w:val="20"/>
                <w:lang w:val="en-US" w:eastAsia="zh-CN"/>
              </w:rPr>
            </w:pPr>
            <w:r>
              <w:rPr>
                <w:rFonts w:hint="eastAsia" w:hAnsi="宋体"/>
                <w:kern w:val="2"/>
                <w:szCs w:val="20"/>
                <w:lang w:val="en-US" w:eastAsia="zh-CN"/>
              </w:rPr>
              <w:t>疾病住院医疗保险</w:t>
            </w:r>
            <w:r>
              <w:rPr>
                <w:rFonts w:hAnsi="宋体"/>
                <w:kern w:val="2"/>
                <w:szCs w:val="20"/>
                <w:lang w:val="en-US" w:eastAsia="zh-CN"/>
              </w:rPr>
              <w:tab/>
            </w: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新保:0</w:t>
            </w:r>
          </w:p>
          <w:p>
            <w:pPr>
              <w:widowControl/>
              <w:spacing w:line="240" w:lineRule="auto"/>
              <w:rPr>
                <w:rFonts w:hint="eastAsia"/>
                <w:szCs w:val="20"/>
              </w:rPr>
            </w:pPr>
          </w:p>
        </w:tc>
        <w:tc>
          <w:tcPr>
            <w:tcW w:w="1048" w:type="dxa"/>
            <w:vAlign w:val="top"/>
          </w:tcPr>
          <w:p>
            <w:pPr>
              <w:widowControl/>
              <w:spacing w:line="240" w:lineRule="auto"/>
              <w:rPr>
                <w:rFonts w:cs="宋体"/>
                <w:color w:val="000000"/>
                <w:kern w:val="0"/>
                <w:sz w:val="20"/>
                <w:szCs w:val="20"/>
              </w:rPr>
            </w:pPr>
            <w:r>
              <w:rPr>
                <w:rFonts w:hint="eastAsia" w:cs="宋体"/>
                <w:color w:val="000000"/>
                <w:kern w:val="0"/>
                <w:sz w:val="20"/>
                <w:szCs w:val="20"/>
              </w:rPr>
              <w:t>新保:90</w:t>
            </w:r>
          </w:p>
          <w:p>
            <w:pPr>
              <w:widowControl/>
              <w:spacing w:line="240" w:lineRule="auto"/>
              <w:rPr>
                <w:rFonts w:hint="eastAsia"/>
                <w:szCs w:val="20"/>
              </w:rPr>
            </w:pPr>
          </w:p>
        </w:tc>
        <w:tc>
          <w:tcPr>
            <w:tcW w:w="1048" w:type="dxa"/>
            <w:vMerge w:val="continue"/>
            <w:vAlign w:val="center"/>
          </w:tcPr>
          <w:p>
            <w:pPr>
              <w:widowControl/>
              <w:jc w:val="right"/>
              <w:textAlignment w:val="center"/>
              <w:rPr>
                <w:sz w:val="20"/>
                <w:szCs w:val="20"/>
              </w:rPr>
            </w:pPr>
          </w:p>
        </w:tc>
        <w:tc>
          <w:tcPr>
            <w:tcW w:w="915" w:type="dxa"/>
            <w:vMerge w:val="continue"/>
            <w:vAlign w:val="center"/>
          </w:tcPr>
          <w:p>
            <w:pPr>
              <w:widowControl/>
              <w:jc w:val="right"/>
              <w:textAlignment w:val="center"/>
              <w:rPr>
                <w:sz w:val="20"/>
                <w:szCs w:val="20"/>
              </w:rPr>
            </w:pPr>
          </w:p>
        </w:tc>
        <w:tc>
          <w:tcPr>
            <w:tcW w:w="830" w:type="dxa"/>
            <w:vMerge w:val="continue"/>
            <w:vAlign w:val="center"/>
          </w:tcPr>
          <w:p>
            <w:pPr>
              <w:widowControl/>
              <w:jc w:val="right"/>
              <w:textAlignment w:val="center"/>
              <w:rPr>
                <w:sz w:val="20"/>
                <w:szCs w:val="20"/>
              </w:rPr>
            </w:pPr>
          </w:p>
        </w:tc>
      </w:tr>
    </w:tbl>
    <w:p>
      <w:pPr>
        <w:rPr>
          <w:rFonts w:hint="eastAsia"/>
          <w:b/>
        </w:rPr>
      </w:pPr>
    </w:p>
    <w:p>
      <w:pPr>
        <w:rPr>
          <w:rFonts w:hint="eastAsia"/>
          <w:b/>
        </w:rPr>
      </w:pPr>
    </w:p>
    <w:p>
      <w:pPr>
        <w:rPr>
          <w:rFonts w:hint="eastAsia"/>
        </w:rPr>
      </w:pPr>
    </w:p>
    <w:p>
      <w:pPr>
        <w:pStyle w:val="4"/>
        <w:ind w:left="720"/>
      </w:pPr>
      <w:r>
        <w:rPr>
          <w:rFonts w:hint="eastAsia"/>
        </w:rPr>
        <w:t>短期</w:t>
      </w:r>
      <w:r>
        <w:t>费率</w:t>
      </w:r>
      <w:bookmarkEnd w:id="24"/>
    </w:p>
    <w:p>
      <w:pPr>
        <w:pStyle w:val="13"/>
        <w:numPr>
          <w:ilvl w:val="0"/>
          <w:numId w:val="8"/>
        </w:numPr>
        <w:ind w:firstLineChars="0"/>
        <w:rPr>
          <w:rFonts w:hint="eastAsia"/>
          <w:color w:val="008000"/>
        </w:rPr>
      </w:pPr>
      <w:r>
        <w:rPr>
          <w:rFonts w:hint="eastAsia"/>
        </w:rPr>
        <w:t>需</w:t>
      </w:r>
      <w:r>
        <w:t>系统支持的</w:t>
      </w:r>
      <w:r>
        <w:rPr>
          <w:rFonts w:hint="eastAsia"/>
        </w:rPr>
        <w:t>短期费率计算方式有</w:t>
      </w:r>
      <w:r>
        <w:t>哪几个</w:t>
      </w:r>
      <w:r>
        <w:rPr>
          <w:rFonts w:hint="eastAsia"/>
        </w:rPr>
        <w:t>：____C____A</w:t>
      </w:r>
      <w:r>
        <w:t>.</w:t>
      </w:r>
      <w:r>
        <w:rPr>
          <w:rFonts w:hint="eastAsia"/>
        </w:rPr>
        <w:t xml:space="preserve">按月  </w:t>
      </w:r>
      <w:r>
        <w:t>B.</w:t>
      </w:r>
      <w:r>
        <w:rPr>
          <w:rFonts w:hint="eastAsia"/>
        </w:rPr>
        <w:t>按日</w:t>
      </w:r>
      <w:r>
        <w:t>C.</w:t>
      </w:r>
      <w:r>
        <w:rPr>
          <w:rFonts w:hint="eastAsia"/>
        </w:rPr>
        <w:t>短期</w:t>
      </w:r>
      <w:r>
        <w:t>费率表D.</w:t>
      </w:r>
      <w:r>
        <w:rPr>
          <w:rFonts w:hint="eastAsia"/>
        </w:rPr>
        <w:t>不计。其</w:t>
      </w:r>
      <w:r>
        <w:t>中，默认</w:t>
      </w:r>
      <w:r>
        <w:rPr>
          <w:rFonts w:hint="eastAsia"/>
        </w:rPr>
        <w:t>使用</w:t>
      </w:r>
      <w:r>
        <w:t>哪种短期费率方式</w:t>
      </w:r>
      <w:r>
        <w:rPr>
          <w:rFonts w:hint="eastAsia"/>
        </w:rPr>
        <w:t>__C______？</w:t>
      </w:r>
    </w:p>
    <w:p>
      <w:pPr>
        <w:pStyle w:val="13"/>
        <w:ind w:left="720" w:firstLine="0" w:firstLineChars="0"/>
        <w:rPr>
          <w:color w:val="008000"/>
        </w:rPr>
      </w:pPr>
      <w:r>
        <w:rPr>
          <w:rFonts w:hint="eastAsia"/>
        </w:rPr>
        <w:t>人身意外伤害保险条款：</w:t>
      </w:r>
    </w:p>
    <w:tbl>
      <w:tblPr>
        <w:tblStyle w:val="11"/>
        <w:tblpPr w:leftFromText="180" w:rightFromText="180" w:vertAnchor="text" w:horzAnchor="page" w:tblpX="1691" w:tblpY="463"/>
        <w:tblOverlap w:val="never"/>
        <w:tblW w:w="9978" w:type="dxa"/>
        <w:tblInd w:w="0"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
      <w:tblGrid>
        <w:gridCol w:w="1005"/>
        <w:gridCol w:w="749"/>
        <w:gridCol w:w="749"/>
        <w:gridCol w:w="749"/>
        <w:gridCol w:w="748"/>
        <w:gridCol w:w="748"/>
        <w:gridCol w:w="748"/>
        <w:gridCol w:w="748"/>
        <w:gridCol w:w="748"/>
        <w:gridCol w:w="748"/>
        <w:gridCol w:w="748"/>
        <w:gridCol w:w="748"/>
        <w:gridCol w:w="742"/>
      </w:tblGrid>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1780" w:hRule="atLeast"/>
        </w:trPr>
        <w:tc>
          <w:tcPr>
            <w:tcW w:w="1005" w:type="dxa"/>
            <w:tcBorders>
              <w:bottom w:val="single" w:color="666666" w:sz="12" w:space="0"/>
            </w:tcBorders>
            <w:shd w:val="clear" w:color="auto" w:fill="F2F2F2"/>
            <w:vAlign w:val="center"/>
          </w:tcPr>
          <w:p>
            <w:pPr>
              <w:rPr>
                <w:b/>
                <w:bCs/>
                <w:szCs w:val="22"/>
              </w:rPr>
            </w:pPr>
            <w:r>
              <w:rPr>
                <w:rFonts w:hint="eastAsia"/>
                <w:b/>
                <w:bCs/>
                <w:szCs w:val="22"/>
              </w:rPr>
              <w:t>保险</w:t>
            </w:r>
          </w:p>
          <w:p>
            <w:pPr>
              <w:rPr>
                <w:b/>
                <w:bCs/>
                <w:szCs w:val="22"/>
              </w:rPr>
            </w:pPr>
            <w:r>
              <w:rPr>
                <w:rFonts w:hint="eastAsia"/>
                <w:b/>
                <w:bCs/>
                <w:szCs w:val="22"/>
              </w:rPr>
              <w:t>期限</w:t>
            </w:r>
          </w:p>
        </w:tc>
        <w:tc>
          <w:tcPr>
            <w:tcW w:w="749" w:type="dxa"/>
            <w:tcBorders>
              <w:bottom w:val="single" w:color="666666" w:sz="12" w:space="0"/>
            </w:tcBorders>
            <w:shd w:val="clear" w:color="auto" w:fill="F2F2F2"/>
            <w:vAlign w:val="center"/>
          </w:tcPr>
          <w:p>
            <w:pPr>
              <w:rPr>
                <w:b/>
                <w:bCs/>
                <w:szCs w:val="22"/>
              </w:rPr>
            </w:pPr>
            <w:r>
              <w:rPr>
                <w:rFonts w:hint="eastAsia"/>
                <w:b/>
                <w:bCs/>
                <w:szCs w:val="22"/>
              </w:rPr>
              <w:t>一个月</w:t>
            </w:r>
          </w:p>
        </w:tc>
        <w:tc>
          <w:tcPr>
            <w:tcW w:w="749" w:type="dxa"/>
            <w:tcBorders>
              <w:bottom w:val="single" w:color="666666" w:sz="12" w:space="0"/>
            </w:tcBorders>
            <w:shd w:val="clear" w:color="auto" w:fill="F2F2F2"/>
            <w:vAlign w:val="center"/>
          </w:tcPr>
          <w:p>
            <w:pPr>
              <w:rPr>
                <w:b/>
                <w:bCs/>
                <w:szCs w:val="22"/>
              </w:rPr>
            </w:pPr>
            <w:r>
              <w:rPr>
                <w:rFonts w:hint="eastAsia"/>
                <w:b/>
                <w:bCs/>
                <w:szCs w:val="22"/>
              </w:rPr>
              <w:t>二个月</w:t>
            </w:r>
          </w:p>
        </w:tc>
        <w:tc>
          <w:tcPr>
            <w:tcW w:w="749" w:type="dxa"/>
            <w:tcBorders>
              <w:bottom w:val="single" w:color="666666" w:sz="12" w:space="0"/>
            </w:tcBorders>
            <w:shd w:val="clear" w:color="auto" w:fill="F2F2F2"/>
            <w:vAlign w:val="center"/>
          </w:tcPr>
          <w:p>
            <w:pPr>
              <w:rPr>
                <w:b/>
                <w:bCs/>
                <w:szCs w:val="22"/>
              </w:rPr>
            </w:pPr>
            <w:r>
              <w:rPr>
                <w:rFonts w:hint="eastAsia"/>
                <w:b/>
                <w:bCs/>
                <w:szCs w:val="22"/>
              </w:rPr>
              <w:t>三个月</w:t>
            </w:r>
          </w:p>
        </w:tc>
        <w:tc>
          <w:tcPr>
            <w:tcW w:w="748" w:type="dxa"/>
            <w:tcBorders>
              <w:bottom w:val="single" w:color="666666" w:sz="12" w:space="0"/>
            </w:tcBorders>
            <w:shd w:val="clear" w:color="auto" w:fill="F2F2F2"/>
            <w:vAlign w:val="center"/>
          </w:tcPr>
          <w:p>
            <w:pPr>
              <w:rPr>
                <w:b/>
                <w:bCs/>
                <w:szCs w:val="22"/>
              </w:rPr>
            </w:pPr>
            <w:r>
              <w:rPr>
                <w:rFonts w:hint="eastAsia"/>
                <w:b/>
                <w:bCs/>
                <w:szCs w:val="22"/>
              </w:rPr>
              <w:t>四个月</w:t>
            </w:r>
          </w:p>
        </w:tc>
        <w:tc>
          <w:tcPr>
            <w:tcW w:w="748" w:type="dxa"/>
            <w:tcBorders>
              <w:bottom w:val="single" w:color="666666" w:sz="12" w:space="0"/>
            </w:tcBorders>
            <w:shd w:val="clear" w:color="auto" w:fill="F2F2F2"/>
            <w:vAlign w:val="center"/>
          </w:tcPr>
          <w:p>
            <w:pPr>
              <w:rPr>
                <w:b/>
                <w:bCs/>
                <w:szCs w:val="22"/>
              </w:rPr>
            </w:pPr>
            <w:r>
              <w:rPr>
                <w:rFonts w:hint="eastAsia"/>
                <w:b/>
                <w:bCs/>
                <w:szCs w:val="22"/>
              </w:rPr>
              <w:t>五个月</w:t>
            </w:r>
          </w:p>
        </w:tc>
        <w:tc>
          <w:tcPr>
            <w:tcW w:w="748" w:type="dxa"/>
            <w:tcBorders>
              <w:bottom w:val="single" w:color="666666" w:sz="12" w:space="0"/>
            </w:tcBorders>
            <w:shd w:val="clear" w:color="auto" w:fill="F2F2F2"/>
            <w:vAlign w:val="center"/>
          </w:tcPr>
          <w:p>
            <w:pPr>
              <w:rPr>
                <w:b/>
                <w:bCs/>
                <w:szCs w:val="22"/>
              </w:rPr>
            </w:pPr>
            <w:r>
              <w:rPr>
                <w:rFonts w:hint="eastAsia"/>
                <w:b/>
                <w:bCs/>
                <w:szCs w:val="22"/>
              </w:rPr>
              <w:t>六个月</w:t>
            </w:r>
          </w:p>
        </w:tc>
        <w:tc>
          <w:tcPr>
            <w:tcW w:w="748" w:type="dxa"/>
            <w:tcBorders>
              <w:bottom w:val="single" w:color="666666" w:sz="12" w:space="0"/>
            </w:tcBorders>
            <w:shd w:val="clear" w:color="auto" w:fill="F2F2F2"/>
            <w:vAlign w:val="center"/>
          </w:tcPr>
          <w:p>
            <w:pPr>
              <w:rPr>
                <w:b/>
                <w:bCs/>
                <w:szCs w:val="22"/>
              </w:rPr>
            </w:pPr>
            <w:r>
              <w:rPr>
                <w:rFonts w:hint="eastAsia"/>
                <w:b/>
                <w:bCs/>
                <w:szCs w:val="22"/>
              </w:rPr>
              <w:t>七个月</w:t>
            </w:r>
          </w:p>
        </w:tc>
        <w:tc>
          <w:tcPr>
            <w:tcW w:w="748" w:type="dxa"/>
            <w:tcBorders>
              <w:bottom w:val="single" w:color="666666" w:sz="12" w:space="0"/>
            </w:tcBorders>
            <w:shd w:val="clear" w:color="auto" w:fill="F2F2F2"/>
            <w:vAlign w:val="center"/>
          </w:tcPr>
          <w:p>
            <w:pPr>
              <w:rPr>
                <w:b/>
                <w:bCs/>
                <w:szCs w:val="22"/>
              </w:rPr>
            </w:pPr>
            <w:r>
              <w:rPr>
                <w:rFonts w:hint="eastAsia"/>
                <w:b/>
                <w:bCs/>
                <w:szCs w:val="22"/>
              </w:rPr>
              <w:t>八个月</w:t>
            </w:r>
          </w:p>
        </w:tc>
        <w:tc>
          <w:tcPr>
            <w:tcW w:w="748" w:type="dxa"/>
            <w:tcBorders>
              <w:bottom w:val="single" w:color="666666" w:sz="12" w:space="0"/>
            </w:tcBorders>
            <w:shd w:val="clear" w:color="auto" w:fill="F2F2F2"/>
            <w:vAlign w:val="center"/>
          </w:tcPr>
          <w:p>
            <w:pPr>
              <w:rPr>
                <w:b/>
                <w:bCs/>
                <w:szCs w:val="22"/>
              </w:rPr>
            </w:pPr>
            <w:r>
              <w:rPr>
                <w:rFonts w:hint="eastAsia"/>
                <w:b/>
                <w:bCs/>
                <w:szCs w:val="22"/>
              </w:rPr>
              <w:t>九个月</w:t>
            </w:r>
          </w:p>
        </w:tc>
        <w:tc>
          <w:tcPr>
            <w:tcW w:w="748" w:type="dxa"/>
            <w:tcBorders>
              <w:bottom w:val="single" w:color="666666" w:sz="12" w:space="0"/>
            </w:tcBorders>
            <w:shd w:val="clear" w:color="auto" w:fill="F2F2F2"/>
            <w:vAlign w:val="center"/>
          </w:tcPr>
          <w:p>
            <w:pPr>
              <w:rPr>
                <w:b/>
                <w:bCs/>
                <w:szCs w:val="22"/>
              </w:rPr>
            </w:pPr>
            <w:r>
              <w:rPr>
                <w:rFonts w:hint="eastAsia"/>
                <w:b/>
                <w:bCs/>
                <w:szCs w:val="22"/>
              </w:rPr>
              <w:t>十个月</w:t>
            </w:r>
          </w:p>
        </w:tc>
        <w:tc>
          <w:tcPr>
            <w:tcW w:w="748" w:type="dxa"/>
            <w:tcBorders>
              <w:bottom w:val="single" w:color="666666" w:sz="12" w:space="0"/>
            </w:tcBorders>
            <w:shd w:val="clear" w:color="auto" w:fill="F2F2F2"/>
            <w:vAlign w:val="center"/>
          </w:tcPr>
          <w:p>
            <w:pPr>
              <w:rPr>
                <w:b/>
                <w:bCs/>
                <w:szCs w:val="22"/>
              </w:rPr>
            </w:pPr>
            <w:r>
              <w:rPr>
                <w:rFonts w:hint="eastAsia"/>
                <w:b/>
                <w:bCs/>
                <w:szCs w:val="22"/>
              </w:rPr>
              <w:t>十一个月</w:t>
            </w:r>
          </w:p>
        </w:tc>
        <w:tc>
          <w:tcPr>
            <w:tcW w:w="742" w:type="dxa"/>
            <w:tcBorders>
              <w:bottom w:val="single" w:color="666666" w:sz="12" w:space="0"/>
            </w:tcBorders>
            <w:shd w:val="clear" w:color="auto" w:fill="F2F2F2"/>
            <w:vAlign w:val="center"/>
          </w:tcPr>
          <w:p>
            <w:pPr>
              <w:rPr>
                <w:b/>
                <w:bCs/>
                <w:szCs w:val="22"/>
              </w:rPr>
            </w:pPr>
            <w:r>
              <w:rPr>
                <w:rFonts w:hint="eastAsia"/>
                <w:b/>
                <w:bCs/>
                <w:szCs w:val="22"/>
              </w:rPr>
              <w:t>十二个月</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rPr>
          <w:trHeight w:val="975" w:hRule="atLeast"/>
        </w:trPr>
        <w:tc>
          <w:tcPr>
            <w:tcW w:w="1005" w:type="dxa"/>
            <w:vAlign w:val="center"/>
          </w:tcPr>
          <w:p>
            <w:pPr>
              <w:rPr>
                <w:szCs w:val="22"/>
              </w:rPr>
            </w:pPr>
            <w:r>
              <w:rPr>
                <w:rFonts w:hint="eastAsia"/>
                <w:szCs w:val="22"/>
              </w:rPr>
              <w:t>按年费率</w:t>
            </w:r>
            <w:r>
              <w:rPr>
                <w:szCs w:val="22"/>
              </w:rPr>
              <w:t>(</w:t>
            </w:r>
            <w:r>
              <w:rPr>
                <w:rFonts w:hint="eastAsia"/>
                <w:szCs w:val="22"/>
              </w:rPr>
              <w:t>%</w:t>
            </w:r>
            <w:r>
              <w:rPr>
                <w:szCs w:val="22"/>
              </w:rPr>
              <w:t>)</w:t>
            </w:r>
          </w:p>
        </w:tc>
        <w:tc>
          <w:tcPr>
            <w:tcW w:w="749" w:type="dxa"/>
            <w:vAlign w:val="top"/>
          </w:tcPr>
          <w:p>
            <w:pPr>
              <w:rPr>
                <w:szCs w:val="22"/>
              </w:rPr>
            </w:pPr>
            <w:r>
              <w:t>25</w:t>
            </w:r>
          </w:p>
        </w:tc>
        <w:tc>
          <w:tcPr>
            <w:tcW w:w="749" w:type="dxa"/>
            <w:vAlign w:val="top"/>
          </w:tcPr>
          <w:p>
            <w:pPr>
              <w:rPr>
                <w:szCs w:val="22"/>
              </w:rPr>
            </w:pPr>
            <w:r>
              <w:t>35</w:t>
            </w:r>
          </w:p>
        </w:tc>
        <w:tc>
          <w:tcPr>
            <w:tcW w:w="749" w:type="dxa"/>
            <w:vAlign w:val="top"/>
          </w:tcPr>
          <w:p>
            <w:pPr>
              <w:rPr>
                <w:szCs w:val="22"/>
              </w:rPr>
            </w:pPr>
            <w:r>
              <w:t>45</w:t>
            </w:r>
          </w:p>
        </w:tc>
        <w:tc>
          <w:tcPr>
            <w:tcW w:w="748" w:type="dxa"/>
            <w:vAlign w:val="top"/>
          </w:tcPr>
          <w:p>
            <w:pPr>
              <w:rPr>
                <w:szCs w:val="22"/>
              </w:rPr>
            </w:pPr>
            <w:r>
              <w:t>55</w:t>
            </w:r>
          </w:p>
        </w:tc>
        <w:tc>
          <w:tcPr>
            <w:tcW w:w="748" w:type="dxa"/>
            <w:vAlign w:val="top"/>
          </w:tcPr>
          <w:p>
            <w:pPr>
              <w:rPr>
                <w:szCs w:val="22"/>
              </w:rPr>
            </w:pPr>
            <w:r>
              <w:t>65</w:t>
            </w:r>
          </w:p>
        </w:tc>
        <w:tc>
          <w:tcPr>
            <w:tcW w:w="748" w:type="dxa"/>
            <w:vAlign w:val="top"/>
          </w:tcPr>
          <w:p>
            <w:pPr>
              <w:rPr>
                <w:szCs w:val="22"/>
              </w:rPr>
            </w:pPr>
            <w:r>
              <w:t>70</w:t>
            </w:r>
          </w:p>
        </w:tc>
        <w:tc>
          <w:tcPr>
            <w:tcW w:w="748" w:type="dxa"/>
            <w:vAlign w:val="top"/>
          </w:tcPr>
          <w:p>
            <w:pPr>
              <w:rPr>
                <w:szCs w:val="22"/>
              </w:rPr>
            </w:pPr>
            <w:r>
              <w:t>75</w:t>
            </w:r>
          </w:p>
        </w:tc>
        <w:tc>
          <w:tcPr>
            <w:tcW w:w="748" w:type="dxa"/>
            <w:vAlign w:val="top"/>
          </w:tcPr>
          <w:p>
            <w:pPr>
              <w:rPr>
                <w:szCs w:val="22"/>
              </w:rPr>
            </w:pPr>
            <w:r>
              <w:t>80</w:t>
            </w:r>
          </w:p>
        </w:tc>
        <w:tc>
          <w:tcPr>
            <w:tcW w:w="748" w:type="dxa"/>
            <w:vAlign w:val="top"/>
          </w:tcPr>
          <w:p>
            <w:pPr>
              <w:rPr>
                <w:szCs w:val="22"/>
              </w:rPr>
            </w:pPr>
            <w:r>
              <w:t>85</w:t>
            </w:r>
          </w:p>
        </w:tc>
        <w:tc>
          <w:tcPr>
            <w:tcW w:w="748" w:type="dxa"/>
            <w:vAlign w:val="top"/>
          </w:tcPr>
          <w:p>
            <w:pPr>
              <w:rPr>
                <w:szCs w:val="22"/>
              </w:rPr>
            </w:pPr>
            <w:r>
              <w:t>90</w:t>
            </w:r>
          </w:p>
        </w:tc>
        <w:tc>
          <w:tcPr>
            <w:tcW w:w="748" w:type="dxa"/>
            <w:vAlign w:val="top"/>
          </w:tcPr>
          <w:p>
            <w:pPr>
              <w:rPr>
                <w:szCs w:val="22"/>
              </w:rPr>
            </w:pPr>
            <w:r>
              <w:t>95</w:t>
            </w:r>
          </w:p>
        </w:tc>
        <w:tc>
          <w:tcPr>
            <w:tcW w:w="742" w:type="dxa"/>
            <w:vAlign w:val="top"/>
          </w:tcPr>
          <w:p>
            <w:pPr>
              <w:rPr>
                <w:szCs w:val="22"/>
              </w:rPr>
            </w:pPr>
            <w:r>
              <w:t>100</w:t>
            </w:r>
          </w:p>
        </w:tc>
      </w:tr>
    </w:tbl>
    <w:p>
      <w:pPr>
        <w:pStyle w:val="13"/>
        <w:numPr>
          <w:ilvl w:val="0"/>
          <w:numId w:val="8"/>
        </w:numPr>
        <w:ind w:firstLineChars="0"/>
      </w:pPr>
      <w:r>
        <w:rPr>
          <w:rFonts w:hint="eastAsia"/>
        </w:rPr>
        <w:t>按短期费率</w:t>
      </w:r>
      <w:r>
        <w:t>表</w:t>
      </w:r>
      <w:r>
        <w:rPr>
          <w:rFonts w:hint="eastAsia"/>
        </w:rPr>
        <w:t>计算，</w:t>
      </w:r>
      <w:r>
        <w:t>提</w:t>
      </w:r>
      <w:r>
        <w:rPr>
          <w:rFonts w:hint="eastAsia"/>
        </w:rPr>
        <w:t>供短期费率表：</w:t>
      </w:r>
    </w:p>
    <w:p>
      <w:pPr>
        <w:pStyle w:val="7"/>
        <w:numPr>
          <w:ilvl w:val="0"/>
          <w:numId w:val="13"/>
        </w:numPr>
        <w:rPr>
          <w:rFonts w:hAnsi="宋体" w:cs="Times New Roman"/>
        </w:rPr>
      </w:pPr>
      <w:r>
        <w:rPr>
          <w:rFonts w:hint="eastAsia" w:hAnsi="宋体"/>
        </w:rPr>
        <w:t>保险期间在</w:t>
      </w:r>
      <w:r>
        <w:rPr>
          <w:rFonts w:hAnsi="宋体"/>
        </w:rPr>
        <w:t>15</w:t>
      </w:r>
      <w:r>
        <w:rPr>
          <w:rFonts w:hint="eastAsia" w:hAnsi="宋体"/>
        </w:rPr>
        <w:t>日以上（不含</w:t>
      </w:r>
      <w:r>
        <w:rPr>
          <w:rFonts w:hAnsi="宋体"/>
        </w:rPr>
        <w:t>15</w:t>
      </w:r>
      <w:r>
        <w:rPr>
          <w:rFonts w:hint="eastAsia" w:hAnsi="宋体"/>
        </w:rPr>
        <w:t>日），不足</w:t>
      </w:r>
      <w:r>
        <w:rPr>
          <w:rFonts w:hAnsi="宋体"/>
        </w:rPr>
        <w:t>1</w:t>
      </w:r>
      <w:r>
        <w:rPr>
          <w:rFonts w:hint="eastAsia" w:hAnsi="宋体"/>
        </w:rPr>
        <w:t>个月的，按</w:t>
      </w:r>
      <w:r>
        <w:rPr>
          <w:rFonts w:hAnsi="宋体"/>
        </w:rPr>
        <w:t>1</w:t>
      </w:r>
      <w:r>
        <w:rPr>
          <w:rFonts w:hint="eastAsia" w:hAnsi="宋体"/>
        </w:rPr>
        <w:t>个月计算；保险期间在</w:t>
      </w:r>
      <w:r>
        <w:rPr>
          <w:rFonts w:hAnsi="宋体"/>
        </w:rPr>
        <w:t>1</w:t>
      </w:r>
      <w:r>
        <w:rPr>
          <w:rFonts w:hint="eastAsia" w:hAnsi="宋体"/>
        </w:rPr>
        <w:t>个月以上，不足</w:t>
      </w:r>
      <w:r>
        <w:rPr>
          <w:rFonts w:hAnsi="宋体"/>
        </w:rPr>
        <w:t>2</w:t>
      </w:r>
      <w:r>
        <w:rPr>
          <w:rFonts w:hint="eastAsia" w:hAnsi="宋体"/>
        </w:rPr>
        <w:t>个月的，按</w:t>
      </w:r>
      <w:r>
        <w:rPr>
          <w:rFonts w:hAnsi="宋体"/>
        </w:rPr>
        <w:t>2</w:t>
      </w:r>
      <w:r>
        <w:rPr>
          <w:rFonts w:hint="eastAsia" w:hAnsi="宋体"/>
        </w:rPr>
        <w:t>个月计算；保险期间在</w:t>
      </w:r>
      <w:r>
        <w:rPr>
          <w:rFonts w:hAnsi="宋体"/>
        </w:rPr>
        <w:t>2</w:t>
      </w:r>
      <w:r>
        <w:rPr>
          <w:rFonts w:hint="eastAsia" w:hAnsi="宋体"/>
        </w:rPr>
        <w:t>个月以上，不足</w:t>
      </w:r>
      <w:r>
        <w:rPr>
          <w:rFonts w:hAnsi="宋体"/>
        </w:rPr>
        <w:t>3</w:t>
      </w:r>
      <w:r>
        <w:rPr>
          <w:rFonts w:hint="eastAsia" w:hAnsi="宋体"/>
        </w:rPr>
        <w:t>个月的，按</w:t>
      </w:r>
      <w:r>
        <w:rPr>
          <w:rFonts w:hAnsi="宋体"/>
        </w:rPr>
        <w:t>3</w:t>
      </w:r>
      <w:r>
        <w:rPr>
          <w:rFonts w:hint="eastAsia" w:hAnsi="宋体"/>
        </w:rPr>
        <w:t>个月计算，依此类推；</w:t>
      </w:r>
    </w:p>
    <w:p>
      <w:pPr>
        <w:pStyle w:val="13"/>
        <w:numPr>
          <w:ilvl w:val="0"/>
          <w:numId w:val="13"/>
        </w:numPr>
        <w:spacing w:line="312" w:lineRule="auto"/>
        <w:ind w:firstLineChars="0"/>
      </w:pPr>
      <w:r>
        <w:rPr>
          <w:rFonts w:hint="eastAsia" w:cs="宋体"/>
        </w:rPr>
        <w:t>保险期间在</w:t>
      </w:r>
      <w:r>
        <w:rPr>
          <w:rFonts w:cs="宋体"/>
        </w:rPr>
        <w:t>8</w:t>
      </w:r>
      <w:r>
        <w:rPr>
          <w:rFonts w:hint="eastAsia" w:cs="宋体"/>
        </w:rPr>
        <w:t>日至</w:t>
      </w:r>
      <w:r>
        <w:rPr>
          <w:rFonts w:cs="宋体"/>
        </w:rPr>
        <w:t>15</w:t>
      </w:r>
      <w:r>
        <w:rPr>
          <w:rFonts w:hint="eastAsia" w:cs="宋体"/>
        </w:rPr>
        <w:t>日之间（含</w:t>
      </w:r>
      <w:r>
        <w:rPr>
          <w:rFonts w:cs="宋体"/>
        </w:rPr>
        <w:t>8</w:t>
      </w:r>
      <w:r>
        <w:rPr>
          <w:rFonts w:hint="eastAsia" w:cs="宋体"/>
        </w:rPr>
        <w:t>日及</w:t>
      </w:r>
      <w:r>
        <w:rPr>
          <w:rFonts w:cs="宋体"/>
        </w:rPr>
        <w:t>15</w:t>
      </w:r>
      <w:r>
        <w:rPr>
          <w:rFonts w:hint="eastAsia" w:cs="宋体"/>
        </w:rPr>
        <w:t>日），短期费率为年费率的</w:t>
      </w:r>
      <w:r>
        <w:rPr>
          <w:rFonts w:cs="宋体"/>
        </w:rPr>
        <w:t>12</w:t>
      </w:r>
      <w:r>
        <w:rPr>
          <w:rFonts w:hint="eastAsia" w:cs="宋体"/>
        </w:rPr>
        <w:t>％；</w:t>
      </w:r>
    </w:p>
    <w:p>
      <w:pPr>
        <w:pStyle w:val="13"/>
        <w:numPr>
          <w:ilvl w:val="0"/>
          <w:numId w:val="13"/>
        </w:numPr>
        <w:spacing w:line="312" w:lineRule="auto"/>
        <w:ind w:firstLineChars="0"/>
      </w:pPr>
      <w:r>
        <w:rPr>
          <w:rFonts w:hint="eastAsia" w:cs="宋体"/>
        </w:rPr>
        <w:t>保险期间在</w:t>
      </w:r>
      <w:r>
        <w:rPr>
          <w:rFonts w:cs="宋体"/>
        </w:rPr>
        <w:t>2</w:t>
      </w:r>
      <w:r>
        <w:rPr>
          <w:rFonts w:hint="eastAsia" w:cs="宋体"/>
        </w:rPr>
        <w:t>日至</w:t>
      </w:r>
      <w:r>
        <w:rPr>
          <w:rFonts w:cs="宋体"/>
        </w:rPr>
        <w:t>7</w:t>
      </w:r>
      <w:r>
        <w:rPr>
          <w:rFonts w:hint="eastAsia" w:cs="宋体"/>
        </w:rPr>
        <w:t>日之间</w:t>
      </w:r>
      <w:r>
        <w:rPr>
          <w:rFonts w:cs="宋体"/>
        </w:rPr>
        <w:t xml:space="preserve"> (</w:t>
      </w:r>
      <w:r>
        <w:rPr>
          <w:rFonts w:hint="eastAsia" w:cs="宋体"/>
        </w:rPr>
        <w:t>含</w:t>
      </w:r>
      <w:r>
        <w:rPr>
          <w:rFonts w:cs="宋体"/>
        </w:rPr>
        <w:t>2</w:t>
      </w:r>
      <w:r>
        <w:rPr>
          <w:rFonts w:hint="eastAsia" w:cs="宋体"/>
        </w:rPr>
        <w:t>日及</w:t>
      </w:r>
      <w:r>
        <w:rPr>
          <w:rFonts w:cs="宋体"/>
        </w:rPr>
        <w:t>7</w:t>
      </w:r>
      <w:r>
        <w:rPr>
          <w:rFonts w:hint="eastAsia" w:cs="宋体"/>
        </w:rPr>
        <w:t>日</w:t>
      </w:r>
      <w:r>
        <w:rPr>
          <w:rFonts w:cs="宋体"/>
        </w:rPr>
        <w:t>)</w:t>
      </w:r>
      <w:r>
        <w:rPr>
          <w:rFonts w:hint="eastAsia" w:cs="宋体"/>
        </w:rPr>
        <w:t>，短期费率为年费率的</w:t>
      </w:r>
      <w:r>
        <w:rPr>
          <w:rFonts w:cs="宋体"/>
        </w:rPr>
        <w:t>8</w:t>
      </w:r>
      <w:r>
        <w:rPr>
          <w:rFonts w:hint="eastAsia" w:cs="宋体"/>
        </w:rPr>
        <w:t>％；</w:t>
      </w:r>
    </w:p>
    <w:p>
      <w:pPr>
        <w:pStyle w:val="13"/>
        <w:numPr>
          <w:ilvl w:val="0"/>
          <w:numId w:val="13"/>
        </w:numPr>
        <w:spacing w:line="312" w:lineRule="auto"/>
        <w:ind w:firstLineChars="0"/>
      </w:pPr>
      <w:r>
        <w:rPr>
          <w:rFonts w:hint="eastAsia" w:cs="宋体"/>
        </w:rPr>
        <w:t>保险期间在</w:t>
      </w:r>
      <w:r>
        <w:rPr>
          <w:rFonts w:cs="宋体"/>
        </w:rPr>
        <w:t>1</w:t>
      </w:r>
      <w:r>
        <w:rPr>
          <w:rFonts w:hint="eastAsia" w:cs="宋体"/>
        </w:rPr>
        <w:t>日或以下的</w:t>
      </w:r>
      <w:r>
        <w:rPr>
          <w:rFonts w:cs="宋体"/>
        </w:rPr>
        <w:t xml:space="preserve">, </w:t>
      </w:r>
      <w:r>
        <w:rPr>
          <w:rFonts w:hint="eastAsia" w:cs="宋体"/>
        </w:rPr>
        <w:t>短期费率为年费率的</w:t>
      </w:r>
      <w:r>
        <w:rPr>
          <w:rFonts w:cs="宋体"/>
        </w:rPr>
        <w:t>5</w:t>
      </w:r>
      <w:r>
        <w:rPr>
          <w:rFonts w:hint="eastAsia" w:cs="宋体"/>
        </w:rPr>
        <w:t>％。</w:t>
      </w:r>
    </w:p>
    <w:p>
      <w:pPr>
        <w:pStyle w:val="13"/>
        <w:ind w:left="720" w:firstLine="0" w:firstLineChars="0"/>
        <w:rPr>
          <w:rFonts w:hint="eastAsia"/>
        </w:rPr>
      </w:pPr>
      <w:r>
        <w:rPr>
          <w:rFonts w:hint="eastAsia"/>
        </w:rPr>
        <w:t>附加意外伤害医疗保险条款短期费率表：</w:t>
      </w:r>
    </w:p>
    <w:tbl>
      <w:tblPr>
        <w:tblStyle w:val="11"/>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632"/>
        <w:gridCol w:w="632"/>
        <w:gridCol w:w="632"/>
        <w:gridCol w:w="633"/>
        <w:gridCol w:w="633"/>
        <w:gridCol w:w="633"/>
        <w:gridCol w:w="633"/>
        <w:gridCol w:w="633"/>
        <w:gridCol w:w="633"/>
        <w:gridCol w:w="633"/>
        <w:gridCol w:w="633"/>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0" w:hRule="exact"/>
          <w:jc w:val="center"/>
        </w:trPr>
        <w:tc>
          <w:tcPr>
            <w:tcW w:w="2238" w:type="dxa"/>
            <w:vAlign w:val="center"/>
          </w:tcPr>
          <w:p>
            <w:pPr>
              <w:jc w:val="center"/>
            </w:pPr>
            <w:r>
              <w:rPr>
                <w:rFonts w:hint="eastAsia" w:cs="宋体"/>
              </w:rPr>
              <w:t>保险期间（个月）</w:t>
            </w:r>
          </w:p>
        </w:tc>
        <w:tc>
          <w:tcPr>
            <w:tcW w:w="632" w:type="dxa"/>
            <w:vAlign w:val="center"/>
          </w:tcPr>
          <w:p>
            <w:pPr>
              <w:jc w:val="center"/>
              <w:rPr>
                <w:rFonts w:cs="宋体"/>
              </w:rPr>
            </w:pPr>
            <w:r>
              <w:rPr>
                <w:rFonts w:cs="宋体"/>
              </w:rPr>
              <w:t>1</w:t>
            </w:r>
          </w:p>
        </w:tc>
        <w:tc>
          <w:tcPr>
            <w:tcW w:w="632" w:type="dxa"/>
            <w:vAlign w:val="center"/>
          </w:tcPr>
          <w:p>
            <w:pPr>
              <w:jc w:val="center"/>
              <w:rPr>
                <w:rFonts w:cs="宋体"/>
              </w:rPr>
            </w:pPr>
            <w:r>
              <w:rPr>
                <w:rFonts w:cs="宋体"/>
              </w:rPr>
              <w:t>2</w:t>
            </w:r>
          </w:p>
        </w:tc>
        <w:tc>
          <w:tcPr>
            <w:tcW w:w="632" w:type="dxa"/>
            <w:vAlign w:val="center"/>
          </w:tcPr>
          <w:p>
            <w:pPr>
              <w:jc w:val="center"/>
              <w:rPr>
                <w:rFonts w:cs="宋体"/>
              </w:rPr>
            </w:pPr>
            <w:r>
              <w:rPr>
                <w:rFonts w:cs="宋体"/>
              </w:rPr>
              <w:t>3</w:t>
            </w:r>
          </w:p>
        </w:tc>
        <w:tc>
          <w:tcPr>
            <w:tcW w:w="633" w:type="dxa"/>
            <w:vAlign w:val="center"/>
          </w:tcPr>
          <w:p>
            <w:pPr>
              <w:jc w:val="center"/>
              <w:rPr>
                <w:rFonts w:cs="宋体"/>
              </w:rPr>
            </w:pPr>
            <w:r>
              <w:rPr>
                <w:rFonts w:cs="宋体"/>
              </w:rPr>
              <w:t>4</w:t>
            </w:r>
          </w:p>
        </w:tc>
        <w:tc>
          <w:tcPr>
            <w:tcW w:w="633" w:type="dxa"/>
            <w:vAlign w:val="center"/>
          </w:tcPr>
          <w:p>
            <w:pPr>
              <w:jc w:val="center"/>
              <w:rPr>
                <w:rFonts w:cs="宋体"/>
              </w:rPr>
            </w:pPr>
            <w:r>
              <w:rPr>
                <w:rFonts w:cs="宋体"/>
              </w:rPr>
              <w:t>5</w:t>
            </w:r>
          </w:p>
        </w:tc>
        <w:tc>
          <w:tcPr>
            <w:tcW w:w="633" w:type="dxa"/>
            <w:vAlign w:val="center"/>
          </w:tcPr>
          <w:p>
            <w:pPr>
              <w:jc w:val="center"/>
              <w:rPr>
                <w:rFonts w:cs="宋体"/>
              </w:rPr>
            </w:pPr>
            <w:r>
              <w:rPr>
                <w:rFonts w:cs="宋体"/>
              </w:rPr>
              <w:t>6</w:t>
            </w:r>
          </w:p>
        </w:tc>
        <w:tc>
          <w:tcPr>
            <w:tcW w:w="633" w:type="dxa"/>
            <w:vAlign w:val="center"/>
          </w:tcPr>
          <w:p>
            <w:pPr>
              <w:jc w:val="center"/>
              <w:rPr>
                <w:rFonts w:cs="宋体"/>
              </w:rPr>
            </w:pPr>
            <w:r>
              <w:rPr>
                <w:rFonts w:cs="宋体"/>
              </w:rPr>
              <w:t>7</w:t>
            </w:r>
          </w:p>
        </w:tc>
        <w:tc>
          <w:tcPr>
            <w:tcW w:w="633" w:type="dxa"/>
            <w:vAlign w:val="center"/>
          </w:tcPr>
          <w:p>
            <w:pPr>
              <w:jc w:val="center"/>
              <w:rPr>
                <w:rFonts w:cs="宋体"/>
              </w:rPr>
            </w:pPr>
            <w:r>
              <w:rPr>
                <w:rFonts w:cs="宋体"/>
              </w:rPr>
              <w:t>8</w:t>
            </w:r>
          </w:p>
        </w:tc>
        <w:tc>
          <w:tcPr>
            <w:tcW w:w="633" w:type="dxa"/>
            <w:vAlign w:val="center"/>
          </w:tcPr>
          <w:p>
            <w:pPr>
              <w:jc w:val="center"/>
              <w:rPr>
                <w:rFonts w:cs="宋体"/>
              </w:rPr>
            </w:pPr>
            <w:r>
              <w:rPr>
                <w:rFonts w:cs="宋体"/>
              </w:rPr>
              <w:t>9</w:t>
            </w:r>
          </w:p>
        </w:tc>
        <w:tc>
          <w:tcPr>
            <w:tcW w:w="633" w:type="dxa"/>
            <w:vAlign w:val="center"/>
          </w:tcPr>
          <w:p>
            <w:pPr>
              <w:jc w:val="center"/>
              <w:rPr>
                <w:rFonts w:cs="宋体"/>
              </w:rPr>
            </w:pPr>
            <w:r>
              <w:rPr>
                <w:rFonts w:cs="宋体"/>
              </w:rPr>
              <w:t>10</w:t>
            </w:r>
          </w:p>
        </w:tc>
        <w:tc>
          <w:tcPr>
            <w:tcW w:w="633" w:type="dxa"/>
            <w:vAlign w:val="center"/>
          </w:tcPr>
          <w:p>
            <w:pPr>
              <w:jc w:val="center"/>
              <w:rPr>
                <w:rFonts w:cs="宋体"/>
              </w:rPr>
            </w:pPr>
            <w:r>
              <w:rPr>
                <w:rFonts w:cs="宋体"/>
              </w:rPr>
              <w:t>11</w:t>
            </w:r>
          </w:p>
        </w:tc>
        <w:tc>
          <w:tcPr>
            <w:tcW w:w="780" w:type="dxa"/>
            <w:vAlign w:val="center"/>
          </w:tcPr>
          <w:p>
            <w:pPr>
              <w:jc w:val="center"/>
              <w:rPr>
                <w:rFonts w:cs="宋体"/>
              </w:rPr>
            </w:pPr>
            <w:r>
              <w:rPr>
                <w:rFonts w:cs="宋体"/>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0" w:hRule="exact"/>
          <w:jc w:val="center"/>
        </w:trPr>
        <w:tc>
          <w:tcPr>
            <w:tcW w:w="2238" w:type="dxa"/>
            <w:vAlign w:val="center"/>
          </w:tcPr>
          <w:p>
            <w:pPr>
              <w:jc w:val="center"/>
            </w:pPr>
            <w:r>
              <w:rPr>
                <w:rFonts w:hint="eastAsia" w:cs="宋体"/>
              </w:rPr>
              <w:t>百分比（</w:t>
            </w:r>
            <w:r>
              <w:rPr>
                <w:rFonts w:cs="宋体"/>
              </w:rPr>
              <w:t>%</w:t>
            </w:r>
            <w:r>
              <w:rPr>
                <w:rFonts w:hint="eastAsia" w:cs="宋体"/>
              </w:rPr>
              <w:t>）</w:t>
            </w:r>
          </w:p>
        </w:tc>
        <w:tc>
          <w:tcPr>
            <w:tcW w:w="632" w:type="dxa"/>
            <w:vAlign w:val="center"/>
          </w:tcPr>
          <w:p>
            <w:pPr>
              <w:jc w:val="center"/>
              <w:rPr>
                <w:rFonts w:cs="宋体"/>
              </w:rPr>
            </w:pPr>
            <w:r>
              <w:rPr>
                <w:rFonts w:hint="eastAsia" w:cs="宋体"/>
              </w:rPr>
              <w:t>10</w:t>
            </w:r>
          </w:p>
        </w:tc>
        <w:tc>
          <w:tcPr>
            <w:tcW w:w="632" w:type="dxa"/>
            <w:vAlign w:val="center"/>
          </w:tcPr>
          <w:p>
            <w:pPr>
              <w:jc w:val="center"/>
              <w:rPr>
                <w:rFonts w:cs="宋体"/>
              </w:rPr>
            </w:pPr>
            <w:r>
              <w:rPr>
                <w:rFonts w:hint="eastAsia" w:cs="宋体"/>
              </w:rPr>
              <w:t>20</w:t>
            </w:r>
          </w:p>
        </w:tc>
        <w:tc>
          <w:tcPr>
            <w:tcW w:w="632" w:type="dxa"/>
            <w:vAlign w:val="center"/>
          </w:tcPr>
          <w:p>
            <w:pPr>
              <w:jc w:val="center"/>
              <w:rPr>
                <w:rFonts w:cs="宋体"/>
              </w:rPr>
            </w:pPr>
            <w:r>
              <w:rPr>
                <w:rFonts w:hint="eastAsia" w:cs="宋体"/>
              </w:rPr>
              <w:t>30</w:t>
            </w:r>
          </w:p>
        </w:tc>
        <w:tc>
          <w:tcPr>
            <w:tcW w:w="633" w:type="dxa"/>
            <w:vAlign w:val="center"/>
          </w:tcPr>
          <w:p>
            <w:pPr>
              <w:jc w:val="center"/>
              <w:rPr>
                <w:rFonts w:cs="宋体"/>
              </w:rPr>
            </w:pPr>
            <w:r>
              <w:rPr>
                <w:rFonts w:hint="eastAsia" w:cs="宋体"/>
              </w:rPr>
              <w:t>40</w:t>
            </w:r>
          </w:p>
        </w:tc>
        <w:tc>
          <w:tcPr>
            <w:tcW w:w="633" w:type="dxa"/>
            <w:vAlign w:val="center"/>
          </w:tcPr>
          <w:p>
            <w:pPr>
              <w:jc w:val="center"/>
              <w:rPr>
                <w:rFonts w:cs="宋体"/>
              </w:rPr>
            </w:pPr>
            <w:r>
              <w:rPr>
                <w:rFonts w:hint="eastAsia" w:cs="宋体"/>
              </w:rPr>
              <w:t>50</w:t>
            </w:r>
          </w:p>
        </w:tc>
        <w:tc>
          <w:tcPr>
            <w:tcW w:w="633" w:type="dxa"/>
            <w:vAlign w:val="center"/>
          </w:tcPr>
          <w:p>
            <w:pPr>
              <w:jc w:val="center"/>
              <w:rPr>
                <w:rFonts w:cs="宋体"/>
              </w:rPr>
            </w:pPr>
            <w:r>
              <w:rPr>
                <w:rFonts w:hint="eastAsia" w:cs="宋体"/>
              </w:rPr>
              <w:t>6</w:t>
            </w:r>
            <w:r>
              <w:rPr>
                <w:rFonts w:cs="宋体"/>
              </w:rPr>
              <w:t>0</w:t>
            </w:r>
          </w:p>
        </w:tc>
        <w:tc>
          <w:tcPr>
            <w:tcW w:w="633" w:type="dxa"/>
            <w:vAlign w:val="center"/>
          </w:tcPr>
          <w:p>
            <w:pPr>
              <w:jc w:val="center"/>
              <w:rPr>
                <w:rFonts w:cs="宋体"/>
              </w:rPr>
            </w:pPr>
            <w:r>
              <w:rPr>
                <w:rFonts w:cs="宋体"/>
              </w:rPr>
              <w:t>7</w:t>
            </w:r>
            <w:r>
              <w:rPr>
                <w:rFonts w:hint="eastAsia" w:cs="宋体"/>
              </w:rPr>
              <w:t>0</w:t>
            </w:r>
          </w:p>
        </w:tc>
        <w:tc>
          <w:tcPr>
            <w:tcW w:w="633" w:type="dxa"/>
            <w:vAlign w:val="center"/>
          </w:tcPr>
          <w:p>
            <w:pPr>
              <w:jc w:val="center"/>
              <w:rPr>
                <w:rFonts w:cs="宋体"/>
              </w:rPr>
            </w:pPr>
            <w:r>
              <w:rPr>
                <w:rFonts w:cs="宋体"/>
              </w:rPr>
              <w:t>80</w:t>
            </w:r>
          </w:p>
        </w:tc>
        <w:tc>
          <w:tcPr>
            <w:tcW w:w="633" w:type="dxa"/>
            <w:vAlign w:val="center"/>
          </w:tcPr>
          <w:p>
            <w:pPr>
              <w:jc w:val="center"/>
              <w:rPr>
                <w:rFonts w:cs="宋体"/>
              </w:rPr>
            </w:pPr>
            <w:r>
              <w:rPr>
                <w:rFonts w:cs="宋体"/>
              </w:rPr>
              <w:t>85</w:t>
            </w:r>
          </w:p>
        </w:tc>
        <w:tc>
          <w:tcPr>
            <w:tcW w:w="633" w:type="dxa"/>
            <w:vAlign w:val="center"/>
          </w:tcPr>
          <w:p>
            <w:pPr>
              <w:jc w:val="center"/>
              <w:rPr>
                <w:rFonts w:cs="宋体"/>
              </w:rPr>
            </w:pPr>
            <w:r>
              <w:rPr>
                <w:rFonts w:cs="宋体"/>
              </w:rPr>
              <w:t>90</w:t>
            </w:r>
          </w:p>
        </w:tc>
        <w:tc>
          <w:tcPr>
            <w:tcW w:w="633" w:type="dxa"/>
            <w:vAlign w:val="center"/>
          </w:tcPr>
          <w:p>
            <w:pPr>
              <w:jc w:val="center"/>
              <w:rPr>
                <w:rFonts w:cs="宋体"/>
              </w:rPr>
            </w:pPr>
            <w:r>
              <w:rPr>
                <w:rFonts w:cs="宋体"/>
              </w:rPr>
              <w:t>95</w:t>
            </w:r>
          </w:p>
        </w:tc>
        <w:tc>
          <w:tcPr>
            <w:tcW w:w="780" w:type="dxa"/>
            <w:vAlign w:val="center"/>
          </w:tcPr>
          <w:p>
            <w:pPr>
              <w:jc w:val="center"/>
              <w:rPr>
                <w:rFonts w:cs="宋体"/>
              </w:rPr>
            </w:pPr>
            <w:r>
              <w:rPr>
                <w:rFonts w:cs="宋体"/>
              </w:rPr>
              <w:t>100</w:t>
            </w:r>
          </w:p>
        </w:tc>
      </w:tr>
    </w:tbl>
    <w:p>
      <w:pPr>
        <w:pStyle w:val="7"/>
        <w:spacing w:before="156" w:beforeLines="50"/>
        <w:ind w:leftChars="-200" w:hanging="420" w:hangingChars="199"/>
        <w:rPr>
          <w:rFonts w:hAnsi="宋体" w:cs="Times New Roman"/>
          <w:b/>
          <w:bCs/>
        </w:rPr>
      </w:pPr>
      <w:r>
        <w:rPr>
          <w:rFonts w:hint="eastAsia" w:hAnsi="宋体"/>
          <w:b/>
          <w:bCs/>
        </w:rPr>
        <w:t xml:space="preserve">    注：</w:t>
      </w:r>
    </w:p>
    <w:p>
      <w:pPr>
        <w:pStyle w:val="7"/>
        <w:numPr>
          <w:ilvl w:val="0"/>
          <w:numId w:val="14"/>
        </w:numPr>
        <w:rPr>
          <w:rFonts w:hAnsi="宋体" w:cs="Times New Roman"/>
        </w:rPr>
      </w:pPr>
      <w:r>
        <w:rPr>
          <w:rFonts w:hint="eastAsia" w:hAnsi="宋体"/>
        </w:rPr>
        <w:t>保险期间在</w:t>
      </w:r>
      <w:r>
        <w:rPr>
          <w:rFonts w:hAnsi="宋体"/>
        </w:rPr>
        <w:t>15</w:t>
      </w:r>
      <w:r>
        <w:rPr>
          <w:rFonts w:hint="eastAsia" w:hAnsi="宋体"/>
        </w:rPr>
        <w:t>日以上（不含</w:t>
      </w:r>
      <w:r>
        <w:rPr>
          <w:rFonts w:hAnsi="宋体"/>
        </w:rPr>
        <w:t>15</w:t>
      </w:r>
      <w:r>
        <w:rPr>
          <w:rFonts w:hint="eastAsia" w:hAnsi="宋体"/>
        </w:rPr>
        <w:t>日），不足</w:t>
      </w:r>
      <w:r>
        <w:rPr>
          <w:rFonts w:hAnsi="宋体"/>
        </w:rPr>
        <w:t>1</w:t>
      </w:r>
      <w:r>
        <w:rPr>
          <w:rFonts w:hint="eastAsia" w:hAnsi="宋体"/>
        </w:rPr>
        <w:t>个月的，按</w:t>
      </w:r>
      <w:r>
        <w:rPr>
          <w:rFonts w:hAnsi="宋体"/>
        </w:rPr>
        <w:t>1</w:t>
      </w:r>
      <w:r>
        <w:rPr>
          <w:rFonts w:hint="eastAsia" w:hAnsi="宋体"/>
        </w:rPr>
        <w:t>个月计算；保险期间在</w:t>
      </w:r>
      <w:r>
        <w:rPr>
          <w:rFonts w:hAnsi="宋体"/>
        </w:rPr>
        <w:t>1</w:t>
      </w:r>
      <w:r>
        <w:rPr>
          <w:rFonts w:hint="eastAsia" w:hAnsi="宋体"/>
        </w:rPr>
        <w:t>个月以上，不足</w:t>
      </w:r>
      <w:r>
        <w:rPr>
          <w:rFonts w:hAnsi="宋体"/>
        </w:rPr>
        <w:t>2</w:t>
      </w:r>
      <w:r>
        <w:rPr>
          <w:rFonts w:hint="eastAsia" w:hAnsi="宋体"/>
        </w:rPr>
        <w:t>个月的，按</w:t>
      </w:r>
      <w:r>
        <w:rPr>
          <w:rFonts w:hAnsi="宋体"/>
        </w:rPr>
        <w:t>2</w:t>
      </w:r>
      <w:r>
        <w:rPr>
          <w:rFonts w:hint="eastAsia" w:hAnsi="宋体"/>
        </w:rPr>
        <w:t>个月计算；保险期间在</w:t>
      </w:r>
      <w:r>
        <w:rPr>
          <w:rFonts w:hAnsi="宋体"/>
        </w:rPr>
        <w:t>2</w:t>
      </w:r>
      <w:r>
        <w:rPr>
          <w:rFonts w:hint="eastAsia" w:hAnsi="宋体"/>
        </w:rPr>
        <w:t>个月以上，不足</w:t>
      </w:r>
      <w:r>
        <w:rPr>
          <w:rFonts w:hAnsi="宋体"/>
        </w:rPr>
        <w:t>3</w:t>
      </w:r>
      <w:r>
        <w:rPr>
          <w:rFonts w:hint="eastAsia" w:hAnsi="宋体"/>
        </w:rPr>
        <w:t>个月的，按</w:t>
      </w:r>
      <w:r>
        <w:rPr>
          <w:rFonts w:hAnsi="宋体"/>
        </w:rPr>
        <w:t>3</w:t>
      </w:r>
      <w:r>
        <w:rPr>
          <w:rFonts w:hint="eastAsia" w:hAnsi="宋体"/>
        </w:rPr>
        <w:t>个月计算，依此类推；</w:t>
      </w:r>
    </w:p>
    <w:p>
      <w:pPr>
        <w:pStyle w:val="14"/>
        <w:numPr>
          <w:ilvl w:val="0"/>
          <w:numId w:val="14"/>
        </w:numPr>
        <w:spacing w:line="312" w:lineRule="auto"/>
        <w:ind w:firstLineChars="0"/>
      </w:pPr>
      <w:r>
        <w:rPr>
          <w:rFonts w:hint="eastAsia" w:cs="宋体"/>
        </w:rPr>
        <w:t>保险期间在</w:t>
      </w:r>
      <w:r>
        <w:rPr>
          <w:rFonts w:cs="宋体"/>
        </w:rPr>
        <w:t>8</w:t>
      </w:r>
      <w:r>
        <w:rPr>
          <w:rFonts w:hint="eastAsia" w:cs="宋体"/>
        </w:rPr>
        <w:t>日至</w:t>
      </w:r>
      <w:r>
        <w:rPr>
          <w:rFonts w:cs="宋体"/>
        </w:rPr>
        <w:t>15</w:t>
      </w:r>
      <w:r>
        <w:rPr>
          <w:rFonts w:hint="eastAsia" w:cs="宋体"/>
        </w:rPr>
        <w:t>日之间（含</w:t>
      </w:r>
      <w:r>
        <w:rPr>
          <w:rFonts w:cs="宋体"/>
        </w:rPr>
        <w:t>8</w:t>
      </w:r>
      <w:r>
        <w:rPr>
          <w:rFonts w:hint="eastAsia" w:cs="宋体"/>
        </w:rPr>
        <w:t>日及</w:t>
      </w:r>
      <w:r>
        <w:rPr>
          <w:rFonts w:cs="宋体"/>
        </w:rPr>
        <w:t>15</w:t>
      </w:r>
      <w:r>
        <w:rPr>
          <w:rFonts w:hint="eastAsia" w:cs="宋体"/>
        </w:rPr>
        <w:t>日），短期费率为年费率的8％；</w:t>
      </w:r>
    </w:p>
    <w:p>
      <w:pPr>
        <w:pStyle w:val="14"/>
        <w:numPr>
          <w:ilvl w:val="0"/>
          <w:numId w:val="14"/>
        </w:numPr>
        <w:spacing w:line="312" w:lineRule="auto"/>
        <w:ind w:firstLineChars="0"/>
      </w:pPr>
      <w:r>
        <w:rPr>
          <w:rFonts w:hint="eastAsia" w:cs="宋体"/>
        </w:rPr>
        <w:t>保险期间在1日至</w:t>
      </w:r>
      <w:r>
        <w:rPr>
          <w:rFonts w:cs="宋体"/>
        </w:rPr>
        <w:t>7</w:t>
      </w:r>
      <w:r>
        <w:rPr>
          <w:rFonts w:hint="eastAsia" w:cs="宋体"/>
        </w:rPr>
        <w:t>日之间</w:t>
      </w:r>
      <w:r>
        <w:rPr>
          <w:rFonts w:cs="宋体"/>
        </w:rPr>
        <w:t xml:space="preserve"> (</w:t>
      </w:r>
      <w:r>
        <w:rPr>
          <w:rFonts w:hint="eastAsia" w:cs="宋体"/>
        </w:rPr>
        <w:t>含1日及</w:t>
      </w:r>
      <w:r>
        <w:rPr>
          <w:rFonts w:cs="宋体"/>
        </w:rPr>
        <w:t>7</w:t>
      </w:r>
      <w:r>
        <w:rPr>
          <w:rFonts w:hint="eastAsia" w:cs="宋体"/>
        </w:rPr>
        <w:t>日</w:t>
      </w:r>
      <w:r>
        <w:rPr>
          <w:rFonts w:cs="宋体"/>
        </w:rPr>
        <w:t>)</w:t>
      </w:r>
      <w:r>
        <w:rPr>
          <w:rFonts w:hint="eastAsia" w:cs="宋体"/>
        </w:rPr>
        <w:t>，短期费率为年费率的5％。</w:t>
      </w:r>
    </w:p>
    <w:p>
      <w:pPr>
        <w:pStyle w:val="13"/>
        <w:ind w:left="720" w:firstLine="0" w:firstLineChars="0"/>
        <w:rPr>
          <w:rFonts w:hint="eastAsia"/>
        </w:rPr>
      </w:pPr>
    </w:p>
    <w:p>
      <w:pPr>
        <w:pStyle w:val="13"/>
        <w:ind w:left="720" w:firstLine="0" w:firstLineChars="0"/>
        <w:rPr>
          <w:rFonts w:hint="eastAsia"/>
        </w:rPr>
      </w:pPr>
      <w:r>
        <w:rPr>
          <w:rFonts w:hint="eastAsia"/>
        </w:rPr>
        <w:t>个人疾病住院医疗保险（C款）条款：</w:t>
      </w:r>
    </w:p>
    <w:tbl>
      <w:tblPr>
        <w:tblStyle w:val="11"/>
        <w:tblW w:w="9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632"/>
        <w:gridCol w:w="632"/>
        <w:gridCol w:w="632"/>
        <w:gridCol w:w="633"/>
        <w:gridCol w:w="633"/>
        <w:gridCol w:w="633"/>
        <w:gridCol w:w="633"/>
        <w:gridCol w:w="633"/>
        <w:gridCol w:w="633"/>
        <w:gridCol w:w="633"/>
        <w:gridCol w:w="633"/>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0" w:hRule="exact"/>
          <w:jc w:val="center"/>
        </w:trPr>
        <w:tc>
          <w:tcPr>
            <w:tcW w:w="2238" w:type="dxa"/>
            <w:vAlign w:val="center"/>
          </w:tcPr>
          <w:p>
            <w:pPr>
              <w:jc w:val="center"/>
            </w:pPr>
            <w:r>
              <w:rPr>
                <w:rFonts w:hint="eastAsia" w:cs="宋体"/>
              </w:rPr>
              <w:t>保险期间（个月）</w:t>
            </w:r>
          </w:p>
        </w:tc>
        <w:tc>
          <w:tcPr>
            <w:tcW w:w="632" w:type="dxa"/>
            <w:vAlign w:val="center"/>
          </w:tcPr>
          <w:p>
            <w:pPr>
              <w:jc w:val="center"/>
              <w:rPr>
                <w:rFonts w:cs="宋体"/>
              </w:rPr>
            </w:pPr>
            <w:r>
              <w:rPr>
                <w:rFonts w:cs="宋体"/>
              </w:rPr>
              <w:t>1</w:t>
            </w:r>
          </w:p>
        </w:tc>
        <w:tc>
          <w:tcPr>
            <w:tcW w:w="632" w:type="dxa"/>
            <w:vAlign w:val="center"/>
          </w:tcPr>
          <w:p>
            <w:pPr>
              <w:jc w:val="center"/>
              <w:rPr>
                <w:rFonts w:cs="宋体"/>
              </w:rPr>
            </w:pPr>
            <w:r>
              <w:rPr>
                <w:rFonts w:cs="宋体"/>
              </w:rPr>
              <w:t>2</w:t>
            </w:r>
          </w:p>
        </w:tc>
        <w:tc>
          <w:tcPr>
            <w:tcW w:w="632" w:type="dxa"/>
            <w:vAlign w:val="center"/>
          </w:tcPr>
          <w:p>
            <w:pPr>
              <w:jc w:val="center"/>
              <w:rPr>
                <w:rFonts w:cs="宋体"/>
              </w:rPr>
            </w:pPr>
            <w:r>
              <w:rPr>
                <w:rFonts w:cs="宋体"/>
              </w:rPr>
              <w:t>3</w:t>
            </w:r>
          </w:p>
        </w:tc>
        <w:tc>
          <w:tcPr>
            <w:tcW w:w="633" w:type="dxa"/>
            <w:vAlign w:val="center"/>
          </w:tcPr>
          <w:p>
            <w:pPr>
              <w:jc w:val="center"/>
              <w:rPr>
                <w:rFonts w:cs="宋体"/>
              </w:rPr>
            </w:pPr>
            <w:r>
              <w:rPr>
                <w:rFonts w:cs="宋体"/>
              </w:rPr>
              <w:t>4</w:t>
            </w:r>
          </w:p>
        </w:tc>
        <w:tc>
          <w:tcPr>
            <w:tcW w:w="633" w:type="dxa"/>
            <w:vAlign w:val="center"/>
          </w:tcPr>
          <w:p>
            <w:pPr>
              <w:jc w:val="center"/>
              <w:rPr>
                <w:rFonts w:cs="宋体"/>
              </w:rPr>
            </w:pPr>
            <w:r>
              <w:rPr>
                <w:rFonts w:cs="宋体"/>
              </w:rPr>
              <w:t>5</w:t>
            </w:r>
          </w:p>
        </w:tc>
        <w:tc>
          <w:tcPr>
            <w:tcW w:w="633" w:type="dxa"/>
            <w:vAlign w:val="center"/>
          </w:tcPr>
          <w:p>
            <w:pPr>
              <w:jc w:val="center"/>
              <w:rPr>
                <w:rFonts w:cs="宋体"/>
              </w:rPr>
            </w:pPr>
            <w:r>
              <w:rPr>
                <w:rFonts w:cs="宋体"/>
              </w:rPr>
              <w:t>6</w:t>
            </w:r>
          </w:p>
        </w:tc>
        <w:tc>
          <w:tcPr>
            <w:tcW w:w="633" w:type="dxa"/>
            <w:vAlign w:val="center"/>
          </w:tcPr>
          <w:p>
            <w:pPr>
              <w:jc w:val="center"/>
              <w:rPr>
                <w:rFonts w:cs="宋体"/>
              </w:rPr>
            </w:pPr>
            <w:r>
              <w:rPr>
                <w:rFonts w:cs="宋体"/>
              </w:rPr>
              <w:t>7</w:t>
            </w:r>
          </w:p>
        </w:tc>
        <w:tc>
          <w:tcPr>
            <w:tcW w:w="633" w:type="dxa"/>
            <w:vAlign w:val="center"/>
          </w:tcPr>
          <w:p>
            <w:pPr>
              <w:jc w:val="center"/>
              <w:rPr>
                <w:rFonts w:cs="宋体"/>
              </w:rPr>
            </w:pPr>
            <w:r>
              <w:rPr>
                <w:rFonts w:cs="宋体"/>
              </w:rPr>
              <w:t>8</w:t>
            </w:r>
          </w:p>
        </w:tc>
        <w:tc>
          <w:tcPr>
            <w:tcW w:w="633" w:type="dxa"/>
            <w:vAlign w:val="center"/>
          </w:tcPr>
          <w:p>
            <w:pPr>
              <w:jc w:val="center"/>
              <w:rPr>
                <w:rFonts w:cs="宋体"/>
              </w:rPr>
            </w:pPr>
            <w:r>
              <w:rPr>
                <w:rFonts w:cs="宋体"/>
              </w:rPr>
              <w:t>9</w:t>
            </w:r>
          </w:p>
        </w:tc>
        <w:tc>
          <w:tcPr>
            <w:tcW w:w="633" w:type="dxa"/>
            <w:vAlign w:val="center"/>
          </w:tcPr>
          <w:p>
            <w:pPr>
              <w:jc w:val="center"/>
              <w:rPr>
                <w:rFonts w:cs="宋体"/>
              </w:rPr>
            </w:pPr>
            <w:r>
              <w:rPr>
                <w:rFonts w:cs="宋体"/>
              </w:rPr>
              <w:t>10</w:t>
            </w:r>
          </w:p>
        </w:tc>
        <w:tc>
          <w:tcPr>
            <w:tcW w:w="633" w:type="dxa"/>
            <w:vAlign w:val="center"/>
          </w:tcPr>
          <w:p>
            <w:pPr>
              <w:jc w:val="center"/>
              <w:rPr>
                <w:rFonts w:cs="宋体"/>
              </w:rPr>
            </w:pPr>
            <w:r>
              <w:rPr>
                <w:rFonts w:cs="宋体"/>
              </w:rPr>
              <w:t>11</w:t>
            </w:r>
          </w:p>
        </w:tc>
        <w:tc>
          <w:tcPr>
            <w:tcW w:w="780" w:type="dxa"/>
            <w:vAlign w:val="center"/>
          </w:tcPr>
          <w:p>
            <w:pPr>
              <w:jc w:val="center"/>
              <w:rPr>
                <w:rFonts w:cs="宋体"/>
              </w:rPr>
            </w:pPr>
            <w:r>
              <w:rPr>
                <w:rFonts w:cs="宋体"/>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0" w:hRule="exact"/>
          <w:jc w:val="center"/>
        </w:trPr>
        <w:tc>
          <w:tcPr>
            <w:tcW w:w="2238" w:type="dxa"/>
            <w:vAlign w:val="center"/>
          </w:tcPr>
          <w:p>
            <w:pPr>
              <w:jc w:val="center"/>
            </w:pPr>
            <w:r>
              <w:rPr>
                <w:rFonts w:hint="eastAsia" w:cs="宋体"/>
              </w:rPr>
              <w:t>百分比（</w:t>
            </w:r>
            <w:r>
              <w:rPr>
                <w:rFonts w:cs="宋体"/>
              </w:rPr>
              <w:t>%</w:t>
            </w:r>
            <w:r>
              <w:rPr>
                <w:rFonts w:hint="eastAsia" w:cs="宋体"/>
              </w:rPr>
              <w:t>）</w:t>
            </w:r>
          </w:p>
        </w:tc>
        <w:tc>
          <w:tcPr>
            <w:tcW w:w="632" w:type="dxa"/>
            <w:vAlign w:val="center"/>
          </w:tcPr>
          <w:p>
            <w:pPr>
              <w:jc w:val="center"/>
              <w:rPr>
                <w:rFonts w:cs="宋体"/>
              </w:rPr>
            </w:pPr>
            <w:r>
              <w:rPr>
                <w:rFonts w:hint="eastAsia" w:cs="宋体"/>
              </w:rPr>
              <w:t>10</w:t>
            </w:r>
          </w:p>
        </w:tc>
        <w:tc>
          <w:tcPr>
            <w:tcW w:w="632" w:type="dxa"/>
            <w:vAlign w:val="center"/>
          </w:tcPr>
          <w:p>
            <w:pPr>
              <w:jc w:val="center"/>
              <w:rPr>
                <w:rFonts w:cs="宋体"/>
              </w:rPr>
            </w:pPr>
            <w:r>
              <w:rPr>
                <w:rFonts w:hint="eastAsia" w:cs="宋体"/>
              </w:rPr>
              <w:t>20</w:t>
            </w:r>
          </w:p>
        </w:tc>
        <w:tc>
          <w:tcPr>
            <w:tcW w:w="632" w:type="dxa"/>
            <w:vAlign w:val="center"/>
          </w:tcPr>
          <w:p>
            <w:pPr>
              <w:jc w:val="center"/>
              <w:rPr>
                <w:rFonts w:cs="宋体"/>
              </w:rPr>
            </w:pPr>
            <w:r>
              <w:rPr>
                <w:rFonts w:hint="eastAsia" w:cs="宋体"/>
              </w:rPr>
              <w:t>30</w:t>
            </w:r>
          </w:p>
        </w:tc>
        <w:tc>
          <w:tcPr>
            <w:tcW w:w="633" w:type="dxa"/>
            <w:vAlign w:val="center"/>
          </w:tcPr>
          <w:p>
            <w:pPr>
              <w:jc w:val="center"/>
              <w:rPr>
                <w:rFonts w:cs="宋体"/>
              </w:rPr>
            </w:pPr>
            <w:r>
              <w:rPr>
                <w:rFonts w:hint="eastAsia" w:cs="宋体"/>
              </w:rPr>
              <w:t>40</w:t>
            </w:r>
          </w:p>
        </w:tc>
        <w:tc>
          <w:tcPr>
            <w:tcW w:w="633" w:type="dxa"/>
            <w:vAlign w:val="center"/>
          </w:tcPr>
          <w:p>
            <w:pPr>
              <w:jc w:val="center"/>
              <w:rPr>
                <w:rFonts w:cs="宋体"/>
              </w:rPr>
            </w:pPr>
            <w:r>
              <w:rPr>
                <w:rFonts w:hint="eastAsia" w:cs="宋体"/>
              </w:rPr>
              <w:t>50</w:t>
            </w:r>
          </w:p>
        </w:tc>
        <w:tc>
          <w:tcPr>
            <w:tcW w:w="633" w:type="dxa"/>
            <w:vAlign w:val="center"/>
          </w:tcPr>
          <w:p>
            <w:pPr>
              <w:jc w:val="center"/>
              <w:rPr>
                <w:rFonts w:cs="宋体"/>
              </w:rPr>
            </w:pPr>
            <w:r>
              <w:rPr>
                <w:rFonts w:hint="eastAsia" w:cs="宋体"/>
              </w:rPr>
              <w:t>60</w:t>
            </w:r>
          </w:p>
        </w:tc>
        <w:tc>
          <w:tcPr>
            <w:tcW w:w="633" w:type="dxa"/>
            <w:vAlign w:val="center"/>
          </w:tcPr>
          <w:p>
            <w:pPr>
              <w:jc w:val="center"/>
              <w:rPr>
                <w:rFonts w:cs="宋体"/>
              </w:rPr>
            </w:pPr>
            <w:r>
              <w:rPr>
                <w:rFonts w:hint="eastAsia" w:cs="宋体"/>
              </w:rPr>
              <w:t>70</w:t>
            </w:r>
          </w:p>
        </w:tc>
        <w:tc>
          <w:tcPr>
            <w:tcW w:w="633" w:type="dxa"/>
            <w:vAlign w:val="center"/>
          </w:tcPr>
          <w:p>
            <w:pPr>
              <w:jc w:val="center"/>
              <w:rPr>
                <w:rFonts w:cs="宋体"/>
              </w:rPr>
            </w:pPr>
            <w:r>
              <w:rPr>
                <w:rFonts w:hint="eastAsia" w:cs="宋体"/>
              </w:rPr>
              <w:t>80</w:t>
            </w:r>
          </w:p>
        </w:tc>
        <w:tc>
          <w:tcPr>
            <w:tcW w:w="633" w:type="dxa"/>
            <w:vAlign w:val="center"/>
          </w:tcPr>
          <w:p>
            <w:pPr>
              <w:jc w:val="center"/>
              <w:rPr>
                <w:rFonts w:cs="宋体"/>
              </w:rPr>
            </w:pPr>
            <w:r>
              <w:rPr>
                <w:rFonts w:hint="eastAsia" w:cs="宋体"/>
              </w:rPr>
              <w:t>85</w:t>
            </w:r>
          </w:p>
        </w:tc>
        <w:tc>
          <w:tcPr>
            <w:tcW w:w="633" w:type="dxa"/>
            <w:vAlign w:val="center"/>
          </w:tcPr>
          <w:p>
            <w:pPr>
              <w:jc w:val="center"/>
              <w:rPr>
                <w:rFonts w:cs="宋体"/>
              </w:rPr>
            </w:pPr>
            <w:r>
              <w:rPr>
                <w:rFonts w:hint="eastAsia" w:cs="宋体"/>
              </w:rPr>
              <w:t>90</w:t>
            </w:r>
          </w:p>
        </w:tc>
        <w:tc>
          <w:tcPr>
            <w:tcW w:w="633" w:type="dxa"/>
            <w:vAlign w:val="center"/>
          </w:tcPr>
          <w:p>
            <w:pPr>
              <w:jc w:val="center"/>
              <w:rPr>
                <w:rFonts w:cs="宋体"/>
              </w:rPr>
            </w:pPr>
            <w:r>
              <w:rPr>
                <w:rFonts w:hint="eastAsia" w:cs="宋体"/>
              </w:rPr>
              <w:t>95</w:t>
            </w:r>
          </w:p>
        </w:tc>
        <w:tc>
          <w:tcPr>
            <w:tcW w:w="780" w:type="dxa"/>
            <w:vAlign w:val="center"/>
          </w:tcPr>
          <w:p>
            <w:pPr>
              <w:jc w:val="center"/>
              <w:rPr>
                <w:rFonts w:cs="宋体"/>
              </w:rPr>
            </w:pPr>
            <w:r>
              <w:rPr>
                <w:rFonts w:cs="宋体"/>
              </w:rPr>
              <w:t>100</w:t>
            </w:r>
          </w:p>
        </w:tc>
      </w:tr>
    </w:tbl>
    <w:p>
      <w:pPr>
        <w:pStyle w:val="7"/>
        <w:spacing w:before="156" w:beforeLines="50"/>
        <w:ind w:left="420"/>
        <w:rPr>
          <w:rFonts w:hAnsi="宋体"/>
          <w:b/>
          <w:bCs/>
        </w:rPr>
      </w:pPr>
      <w:r>
        <w:rPr>
          <w:rFonts w:hint="eastAsia" w:hAnsi="宋体"/>
          <w:b/>
          <w:bCs/>
        </w:rPr>
        <w:t>注：</w:t>
      </w:r>
    </w:p>
    <w:p>
      <w:pPr>
        <w:pStyle w:val="7"/>
        <w:ind w:left="420"/>
        <w:rPr>
          <w:rFonts w:hAnsi="宋体"/>
        </w:rPr>
      </w:pPr>
      <w:r>
        <w:rPr>
          <w:rFonts w:hint="eastAsia" w:hAnsi="宋体"/>
        </w:rPr>
        <w:t>不足</w:t>
      </w:r>
      <w:r>
        <w:rPr>
          <w:rFonts w:hAnsi="宋体"/>
        </w:rPr>
        <w:t>1</w:t>
      </w:r>
      <w:r>
        <w:rPr>
          <w:rFonts w:hint="eastAsia" w:hAnsi="宋体"/>
        </w:rPr>
        <w:t>个月的，按</w:t>
      </w:r>
      <w:r>
        <w:rPr>
          <w:rFonts w:hAnsi="宋体"/>
        </w:rPr>
        <w:t>1</w:t>
      </w:r>
      <w:r>
        <w:rPr>
          <w:rFonts w:hint="eastAsia" w:hAnsi="宋体"/>
        </w:rPr>
        <w:t>个月计算；保险期间在</w:t>
      </w:r>
      <w:r>
        <w:rPr>
          <w:rFonts w:hAnsi="宋体"/>
        </w:rPr>
        <w:t>1</w:t>
      </w:r>
      <w:r>
        <w:rPr>
          <w:rFonts w:hint="eastAsia" w:hAnsi="宋体"/>
        </w:rPr>
        <w:t>个月以上，不足</w:t>
      </w:r>
      <w:r>
        <w:rPr>
          <w:rFonts w:hAnsi="宋体"/>
        </w:rPr>
        <w:t>2</w:t>
      </w:r>
      <w:r>
        <w:rPr>
          <w:rFonts w:hint="eastAsia" w:hAnsi="宋体"/>
        </w:rPr>
        <w:t>个月的，按</w:t>
      </w:r>
      <w:r>
        <w:rPr>
          <w:rFonts w:hAnsi="宋体"/>
        </w:rPr>
        <w:t>2</w:t>
      </w:r>
      <w:r>
        <w:rPr>
          <w:rFonts w:hint="eastAsia" w:hAnsi="宋体"/>
        </w:rPr>
        <w:t>个月计算；保险期间在</w:t>
      </w:r>
      <w:r>
        <w:rPr>
          <w:rFonts w:hAnsi="宋体"/>
        </w:rPr>
        <w:t>2</w:t>
      </w:r>
      <w:r>
        <w:rPr>
          <w:rFonts w:hint="eastAsia" w:hAnsi="宋体"/>
        </w:rPr>
        <w:t>个月以上，不足</w:t>
      </w:r>
      <w:r>
        <w:rPr>
          <w:rFonts w:hAnsi="宋体"/>
        </w:rPr>
        <w:t>3</w:t>
      </w:r>
      <w:r>
        <w:rPr>
          <w:rFonts w:hint="eastAsia" w:hAnsi="宋体"/>
        </w:rPr>
        <w:t>个月的，按</w:t>
      </w:r>
      <w:r>
        <w:rPr>
          <w:rFonts w:hAnsi="宋体"/>
        </w:rPr>
        <w:t>3</w:t>
      </w:r>
      <w:r>
        <w:rPr>
          <w:rFonts w:hint="eastAsia" w:hAnsi="宋体"/>
        </w:rPr>
        <w:t>个月计算，依此类推。</w:t>
      </w:r>
    </w:p>
    <w:p>
      <w:pPr>
        <w:pStyle w:val="13"/>
        <w:ind w:left="720" w:firstLine="0" w:firstLineChars="0"/>
      </w:pPr>
    </w:p>
    <w:p>
      <w:pPr>
        <w:pStyle w:val="13"/>
        <w:numPr>
          <w:ilvl w:val="1"/>
          <w:numId w:val="8"/>
        </w:numPr>
        <w:ind w:firstLineChars="0"/>
      </w:pPr>
      <w:r>
        <w:rPr>
          <w:rFonts w:hint="eastAsia"/>
        </w:rPr>
        <w:t>按月或</w:t>
      </w:r>
      <w:r>
        <w:t>短期费率表</w:t>
      </w:r>
      <w:r>
        <w:rPr>
          <w:rFonts w:hint="eastAsia"/>
        </w:rPr>
        <w:t>计算短期时，是否不到一月按一个月计算？ _______A</w:t>
      </w:r>
      <w:r>
        <w:t>.</w:t>
      </w:r>
      <w:r>
        <w:rPr>
          <w:rFonts w:hint="eastAsia"/>
        </w:rPr>
        <w:t xml:space="preserve"> 不到一月按一个月计算  </w:t>
      </w:r>
      <w:r>
        <w:t>B.</w:t>
      </w:r>
      <w:r>
        <w:rPr>
          <w:rFonts w:hint="eastAsia"/>
        </w:rPr>
        <w:t xml:space="preserve"> 采用</w:t>
      </w:r>
      <w:r>
        <w:t>四舍五入机制</w:t>
      </w:r>
      <w:r>
        <w:rPr>
          <w:rFonts w:hint="eastAsia"/>
        </w:rPr>
        <w:t>。</w:t>
      </w:r>
    </w:p>
    <w:p>
      <w:pPr>
        <w:pStyle w:val="13"/>
        <w:numPr>
          <w:ilvl w:val="1"/>
          <w:numId w:val="8"/>
        </w:numPr>
        <w:ind w:firstLineChars="0"/>
      </w:pPr>
      <w:r>
        <w:rPr>
          <w:rFonts w:hint="eastAsia"/>
        </w:rPr>
        <w:t>对于保险期限超过一年的，按短期费率表计算公式：北京</w:t>
      </w:r>
    </w:p>
    <w:p>
      <w:pPr>
        <w:pStyle w:val="13"/>
        <w:ind w:left="780" w:firstLine="0" w:firstLineChars="0"/>
      </w:pPr>
      <w:r>
        <w:rPr>
          <w:rFonts w:hint="eastAsia"/>
        </w:rPr>
        <w:t>（参考计算</w:t>
      </w:r>
      <w:r>
        <w:t>公式：</w:t>
      </w:r>
      <w:r>
        <w:rPr>
          <w:rFonts w:hint="eastAsia"/>
        </w:rPr>
        <w:t>短期费率=保期整年数+保期剩余月份对应按月的短期费率表中的短期费率）</w:t>
      </w:r>
    </w:p>
    <w:p>
      <w:pPr>
        <w:pStyle w:val="13"/>
        <w:ind w:left="780" w:firstLine="0" w:firstLineChars="0"/>
      </w:pPr>
      <w:r>
        <w:rPr>
          <w:rFonts w:hint="eastAsia"/>
        </w:rPr>
        <w:t>上</w:t>
      </w:r>
      <w:r>
        <w:t>述</w:t>
      </w:r>
      <w:r>
        <w:rPr>
          <w:rFonts w:hint="eastAsia"/>
        </w:rPr>
        <w:t>按月的短期费率计算公式是</w:t>
      </w:r>
      <w:r>
        <w:t>否</w:t>
      </w:r>
      <w:r>
        <w:rPr>
          <w:rFonts w:hint="eastAsia"/>
        </w:rPr>
        <w:t>满足</w:t>
      </w:r>
      <w:r>
        <w:t>要求</w:t>
      </w:r>
      <w:r>
        <w:rPr>
          <w:rFonts w:hint="eastAsia"/>
        </w:rPr>
        <w:t>？_____A____A</w:t>
      </w:r>
      <w:r>
        <w:t>.</w:t>
      </w:r>
      <w:r>
        <w:rPr>
          <w:rFonts w:hint="eastAsia"/>
        </w:rPr>
        <w:t xml:space="preserve">满足  </w:t>
      </w:r>
      <w:r>
        <w:t>B.</w:t>
      </w:r>
      <w:r>
        <w:rPr>
          <w:rFonts w:hint="eastAsia"/>
        </w:rPr>
        <w:t xml:space="preserve"> 不满足。</w:t>
      </w:r>
    </w:p>
    <w:p>
      <w:pPr>
        <w:pStyle w:val="13"/>
        <w:ind w:left="780" w:firstLine="0" w:firstLineChars="0"/>
      </w:pPr>
      <w:r>
        <w:rPr>
          <w:rFonts w:hint="eastAsia"/>
        </w:rPr>
        <w:t>若</w:t>
      </w:r>
      <w:r>
        <w:t>不满足，请提供</w:t>
      </w:r>
      <w:r>
        <w:rPr>
          <w:rFonts w:hint="eastAsia"/>
        </w:rPr>
        <w:t>相</w:t>
      </w:r>
      <w:r>
        <w:t>应的计算公式。</w:t>
      </w:r>
    </w:p>
    <w:p>
      <w:pPr>
        <w:pStyle w:val="13"/>
        <w:numPr>
          <w:ilvl w:val="0"/>
          <w:numId w:val="8"/>
        </w:numPr>
        <w:ind w:firstLineChars="0"/>
      </w:pPr>
      <w:r>
        <w:rPr>
          <w:rFonts w:hint="eastAsia"/>
        </w:rPr>
        <w:t>按日计算：（参考计算公式：短期费率=保期天数/365）</w:t>
      </w:r>
    </w:p>
    <w:p>
      <w:r>
        <w:rPr>
          <w:rFonts w:hint="eastAsia"/>
        </w:rPr>
        <w:t>上</w:t>
      </w:r>
      <w:r>
        <w:t>述</w:t>
      </w:r>
      <w:r>
        <w:rPr>
          <w:rFonts w:hint="eastAsia"/>
        </w:rPr>
        <w:t>按日的短期费率计算公式是</w:t>
      </w:r>
      <w:r>
        <w:t>否</w:t>
      </w:r>
      <w:r>
        <w:rPr>
          <w:rFonts w:hint="eastAsia"/>
        </w:rPr>
        <w:t>满足</w:t>
      </w:r>
      <w:r>
        <w:t>要求</w:t>
      </w:r>
      <w:r>
        <w:rPr>
          <w:rFonts w:hint="eastAsia"/>
        </w:rPr>
        <w:t>？_________A</w:t>
      </w:r>
      <w:r>
        <w:t>.</w:t>
      </w:r>
      <w:r>
        <w:rPr>
          <w:rFonts w:hint="eastAsia"/>
        </w:rPr>
        <w:t xml:space="preserve">满足  </w:t>
      </w:r>
      <w:r>
        <w:t>B.</w:t>
      </w:r>
      <w:r>
        <w:rPr>
          <w:rFonts w:hint="eastAsia"/>
        </w:rPr>
        <w:t xml:space="preserve"> 不满足。</w:t>
      </w:r>
    </w:p>
    <w:p>
      <w:r>
        <w:rPr>
          <w:rFonts w:hint="eastAsia"/>
        </w:rPr>
        <w:t>若</w:t>
      </w:r>
      <w:r>
        <w:t>不满足，请提供</w:t>
      </w:r>
      <w:r>
        <w:rPr>
          <w:rFonts w:hint="eastAsia"/>
        </w:rPr>
        <w:t>相</w:t>
      </w:r>
      <w:r>
        <w:t>应的计算公式。</w:t>
      </w:r>
    </w:p>
    <w:p>
      <w:pPr>
        <w:pStyle w:val="13"/>
        <w:numPr>
          <w:ilvl w:val="0"/>
          <w:numId w:val="8"/>
        </w:numPr>
        <w:ind w:firstLineChars="0"/>
      </w:pPr>
      <w:r>
        <w:rPr>
          <w:rFonts w:hint="eastAsia"/>
        </w:rPr>
        <w:t>按月计算：（参考计算公式：短期费率=保期天数/</w:t>
      </w:r>
      <w:r>
        <w:t>12</w:t>
      </w:r>
      <w:r>
        <w:rPr>
          <w:rFonts w:hint="eastAsia"/>
        </w:rPr>
        <w:t>）</w:t>
      </w:r>
    </w:p>
    <w:p>
      <w:r>
        <w:rPr>
          <w:rFonts w:hint="eastAsia"/>
        </w:rPr>
        <w:t>上</w:t>
      </w:r>
      <w:r>
        <w:t>述</w:t>
      </w:r>
      <w:r>
        <w:rPr>
          <w:rFonts w:hint="eastAsia"/>
        </w:rPr>
        <w:t>按月的短期费率计算公式是</w:t>
      </w:r>
      <w:r>
        <w:t>否</w:t>
      </w:r>
      <w:r>
        <w:rPr>
          <w:rFonts w:hint="eastAsia"/>
        </w:rPr>
        <w:t>满足</w:t>
      </w:r>
      <w:r>
        <w:t>要求</w:t>
      </w:r>
      <w:r>
        <w:rPr>
          <w:rFonts w:hint="eastAsia"/>
        </w:rPr>
        <w:t>？_________A</w:t>
      </w:r>
      <w:r>
        <w:t>.</w:t>
      </w:r>
      <w:r>
        <w:rPr>
          <w:rFonts w:hint="eastAsia"/>
        </w:rPr>
        <w:t xml:space="preserve">满足  </w:t>
      </w:r>
      <w:r>
        <w:t>B.</w:t>
      </w:r>
      <w:r>
        <w:rPr>
          <w:rFonts w:hint="eastAsia"/>
        </w:rPr>
        <w:t xml:space="preserve"> 不满足。</w:t>
      </w:r>
    </w:p>
    <w:p>
      <w:r>
        <w:rPr>
          <w:rFonts w:hint="eastAsia"/>
        </w:rPr>
        <w:t>若</w:t>
      </w:r>
      <w:r>
        <w:t>不满足，请提供</w:t>
      </w:r>
      <w:r>
        <w:rPr>
          <w:rFonts w:hint="eastAsia"/>
        </w:rPr>
        <w:t>相</w:t>
      </w:r>
      <w:r>
        <w:t>应的计算公式。</w:t>
      </w:r>
    </w:p>
    <w:p>
      <w:pPr>
        <w:pStyle w:val="4"/>
        <w:ind w:left="720"/>
      </w:pPr>
      <w:bookmarkStart w:id="25" w:name="_Toc477766682"/>
      <w:r>
        <w:rPr>
          <w:rFonts w:hint="eastAsia"/>
        </w:rPr>
        <w:t>基本保费和最低保费</w:t>
      </w:r>
      <w:bookmarkEnd w:id="25"/>
    </w:p>
    <w:p>
      <w:pPr>
        <w:pStyle w:val="13"/>
        <w:numPr>
          <w:ilvl w:val="0"/>
          <w:numId w:val="8"/>
        </w:numPr>
        <w:ind w:firstLineChars="0"/>
      </w:pPr>
      <w:r>
        <w:rPr>
          <w:rFonts w:hint="eastAsia"/>
        </w:rPr>
        <w:t>保单是否有基本保费和最低保费？如有的话是否参与保费计算，请给出计算公式。</w:t>
      </w:r>
    </w:p>
    <w:p>
      <w:pPr>
        <w:rPr>
          <w:u w:val="single"/>
        </w:rPr>
      </w:pPr>
      <w:r>
        <w:rPr>
          <w:rFonts w:hint="eastAsia"/>
          <w:u w:val="single"/>
        </w:rPr>
        <w:t>无</w:t>
      </w:r>
    </w:p>
    <w:p>
      <w:pPr>
        <w:pStyle w:val="2"/>
        <w:rPr>
          <w:rStyle w:val="17"/>
        </w:rPr>
      </w:pPr>
      <w:bookmarkStart w:id="26" w:name="_Toc477766683"/>
      <w:r>
        <w:rPr>
          <w:rStyle w:val="17"/>
          <w:rFonts w:hint="eastAsia"/>
        </w:rPr>
        <w:t>功能需求说明</w:t>
      </w:r>
      <w:bookmarkEnd w:id="26"/>
    </w:p>
    <w:p>
      <w:pPr>
        <w:pStyle w:val="3"/>
        <w:ind w:left="1418" w:hanging="992"/>
      </w:pPr>
      <w:bookmarkStart w:id="27" w:name="_Toc477766684"/>
      <w:r>
        <w:rPr>
          <w:rFonts w:hint="eastAsia"/>
        </w:rPr>
        <w:t>业务</w:t>
      </w:r>
      <w:r>
        <w:t>流程</w:t>
      </w:r>
      <w:r>
        <w:rPr>
          <w:rFonts w:hint="eastAsia"/>
        </w:rPr>
        <w:t>说明</w:t>
      </w:r>
      <w:bookmarkEnd w:id="27"/>
    </w:p>
    <w:p>
      <w:pPr>
        <w:rPr>
          <w:i/>
        </w:rPr>
      </w:pPr>
      <w:r>
        <w:rPr>
          <w:rFonts w:hint="eastAsia"/>
          <w:i/>
        </w:rPr>
        <w:t>[模板提示：业务流程请参照下图]</w:t>
      </w:r>
    </w:p>
    <w:p>
      <w:pPr>
        <w:rPr>
          <w:i/>
        </w:rPr>
      </w:pPr>
      <w:r>
        <w:rPr>
          <w:rFonts w:hint="eastAsia"/>
          <w:i/>
        </w:rPr>
        <w:t>[图例说明：外部业务功能无须编号，本需求涉及功能使用Pxxx编号，其他相关系统功能（涉及到交互，但并非本需求功能模块）使用Exxx编号，单证或数据文件使用Dxx编号]</w:t>
      </w:r>
    </w:p>
    <w:p>
      <w:pPr>
        <w:rPr>
          <w:i/>
        </w:rPr>
      </w:pPr>
      <w:r>
        <w:object>
          <v:shape id="_x0000_i1033" o:spt="75" type="#_x0000_t75" style="height:634.5pt;width:404pt;" o:ole="t" filled="f" o:preferrelative="t" stroked="f" coordsize="21600,21600">
            <v:path/>
            <v:fill on="f" focussize="0,0"/>
            <v:stroke on="f"/>
            <v:imagedata r:id="rId13" o:title=""/>
            <o:lock v:ext="edit" aspectratio="t"/>
            <w10:wrap type="none"/>
            <w10:anchorlock/>
          </v:shape>
          <o:OLEObject Type="Embed" ProgID="Visio.Drawing.15" ShapeID="_x0000_i1033" DrawAspect="Content" ObjectID="_1468075729">
            <o:LockedField>false</o:LockedField>
          </o:OLEObject>
        </w:object>
      </w:r>
    </w:p>
    <w:p>
      <w:pPr>
        <w:pStyle w:val="4"/>
        <w:ind w:left="720"/>
      </w:pPr>
      <w:bookmarkStart w:id="28" w:name="_Toc477766688"/>
      <w:r>
        <w:rPr>
          <w:rFonts w:hint="eastAsia"/>
        </w:rPr>
        <w:t>信息要素</w:t>
      </w:r>
      <w:bookmarkEnd w:id="28"/>
    </w:p>
    <w:p>
      <w:pPr>
        <w:rPr>
          <w:i/>
        </w:rPr>
      </w:pPr>
      <w:r>
        <w:rPr>
          <w:rFonts w:hint="eastAsia"/>
          <w:i/>
        </w:rPr>
        <w:t>[模板提示：若是渠道方提供界面，则此处说明渠道方与泰康交互时可提供的信息要素]</w:t>
      </w:r>
    </w:p>
    <w:p>
      <w:pPr>
        <w:rPr>
          <w:i/>
        </w:rPr>
      </w:pPr>
      <w:r>
        <w:rPr>
          <w:rFonts w:hint="eastAsia"/>
          <w:i/>
        </w:rPr>
        <w:t>两个险种适用相同</w:t>
      </w:r>
    </w:p>
    <w:tbl>
      <w:tblPr>
        <w:tblStyle w:val="11"/>
        <w:tblW w:w="9259" w:type="dxa"/>
        <w:tblInd w:w="0" w:type="dxa"/>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
      <w:tblGrid>
        <w:gridCol w:w="1509"/>
        <w:gridCol w:w="1057"/>
        <w:gridCol w:w="781"/>
        <w:gridCol w:w="5912"/>
      </w:tblGrid>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tcBorders>
              <w:bottom w:val="single" w:color="666666" w:sz="12" w:space="0"/>
            </w:tcBorders>
            <w:shd w:val="clear" w:color="auto" w:fill="BCE1C0"/>
            <w:vAlign w:val="center"/>
          </w:tcPr>
          <w:p>
            <w:pPr>
              <w:spacing w:line="240" w:lineRule="auto"/>
              <w:rPr>
                <w:b/>
                <w:bCs/>
              </w:rPr>
            </w:pPr>
            <w:r>
              <w:rPr>
                <w:rFonts w:hint="eastAsia"/>
                <w:b/>
                <w:bCs/>
                <w:szCs w:val="22"/>
              </w:rPr>
              <w:t>要</w:t>
            </w:r>
            <w:r>
              <w:rPr>
                <w:b/>
                <w:bCs/>
                <w:szCs w:val="22"/>
              </w:rPr>
              <w:t>素</w:t>
            </w:r>
            <w:r>
              <w:rPr>
                <w:rFonts w:hint="eastAsia"/>
                <w:b/>
                <w:bCs/>
                <w:szCs w:val="22"/>
              </w:rPr>
              <w:t>名称</w:t>
            </w:r>
          </w:p>
        </w:tc>
        <w:tc>
          <w:tcPr>
            <w:tcW w:w="1057" w:type="dxa"/>
            <w:tcBorders>
              <w:bottom w:val="single" w:color="666666" w:sz="12" w:space="0"/>
            </w:tcBorders>
            <w:shd w:val="clear" w:color="auto" w:fill="BCE1C0"/>
            <w:vAlign w:val="center"/>
          </w:tcPr>
          <w:p>
            <w:pPr>
              <w:spacing w:line="240" w:lineRule="auto"/>
              <w:rPr>
                <w:b/>
                <w:bCs/>
              </w:rPr>
            </w:pPr>
            <w:r>
              <w:rPr>
                <w:rFonts w:hint="eastAsia"/>
                <w:b/>
                <w:bCs/>
                <w:szCs w:val="22"/>
              </w:rPr>
              <w:t>长度</w:t>
            </w:r>
          </w:p>
        </w:tc>
        <w:tc>
          <w:tcPr>
            <w:tcW w:w="781" w:type="dxa"/>
            <w:tcBorders>
              <w:bottom w:val="single" w:color="666666" w:sz="12" w:space="0"/>
            </w:tcBorders>
            <w:shd w:val="clear" w:color="auto" w:fill="BCE1C0"/>
            <w:vAlign w:val="center"/>
          </w:tcPr>
          <w:p>
            <w:pPr>
              <w:spacing w:line="240" w:lineRule="auto"/>
              <w:rPr>
                <w:b/>
                <w:bCs/>
              </w:rPr>
            </w:pPr>
            <w:r>
              <w:rPr>
                <w:rFonts w:hint="eastAsia"/>
                <w:b/>
                <w:bCs/>
                <w:szCs w:val="22"/>
              </w:rPr>
              <w:t>是否必传</w:t>
            </w:r>
          </w:p>
        </w:tc>
        <w:tc>
          <w:tcPr>
            <w:tcW w:w="5912" w:type="dxa"/>
            <w:tcBorders>
              <w:bottom w:val="single" w:color="666666" w:sz="12" w:space="0"/>
            </w:tcBorders>
            <w:shd w:val="clear" w:color="auto" w:fill="BCE1C0"/>
            <w:vAlign w:val="center"/>
          </w:tcPr>
          <w:p>
            <w:pPr>
              <w:spacing w:line="240" w:lineRule="auto"/>
              <w:rPr>
                <w:b/>
                <w:bCs/>
              </w:rPr>
            </w:pPr>
            <w:r>
              <w:rPr>
                <w:rFonts w:hint="eastAsia"/>
                <w:b/>
                <w:bCs/>
                <w:szCs w:val="22"/>
              </w:rPr>
              <w:t>规则说明</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9259" w:type="dxa"/>
            <w:gridSpan w:val="4"/>
            <w:shd w:val="clear" w:color="auto" w:fill="BCE1C0"/>
            <w:vAlign w:val="center"/>
          </w:tcPr>
          <w:p>
            <w:pPr>
              <w:spacing w:line="240" w:lineRule="auto"/>
              <w:rPr>
                <w:szCs w:val="16"/>
              </w:rPr>
            </w:pPr>
            <w:r>
              <w:rPr>
                <w:rFonts w:hint="eastAsia"/>
                <w:szCs w:val="16"/>
              </w:rPr>
              <w:t>投保人信息</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szCs w:val="16"/>
              </w:rPr>
            </w:pPr>
            <w:r>
              <w:rPr>
                <w:rFonts w:hint="eastAsia"/>
                <w:szCs w:val="16"/>
              </w:rPr>
              <w:t>姓名</w:t>
            </w:r>
          </w:p>
        </w:tc>
        <w:tc>
          <w:tcPr>
            <w:tcW w:w="1057" w:type="dxa"/>
            <w:vAlign w:val="center"/>
          </w:tcPr>
          <w:p>
            <w:pPr>
              <w:spacing w:line="240" w:lineRule="auto"/>
              <w:rPr>
                <w:szCs w:val="16"/>
              </w:rPr>
            </w:pPr>
          </w:p>
        </w:tc>
        <w:tc>
          <w:tcPr>
            <w:tcW w:w="781" w:type="dxa"/>
            <w:vAlign w:val="center"/>
          </w:tcPr>
          <w:p>
            <w:pPr>
              <w:spacing w:line="240" w:lineRule="auto"/>
              <w:rPr>
                <w:szCs w:val="16"/>
              </w:rPr>
            </w:pPr>
            <w:r>
              <w:rPr>
                <w:rFonts w:hint="eastAsia"/>
                <w:szCs w:val="16"/>
              </w:rPr>
              <w:t>是</w:t>
            </w:r>
          </w:p>
        </w:tc>
        <w:tc>
          <w:tcPr>
            <w:tcW w:w="5912" w:type="dxa"/>
            <w:vAlign w:val="center"/>
          </w:tcPr>
          <w:p>
            <w:pPr>
              <w:widowControl/>
              <w:spacing w:before="100" w:beforeAutospacing="1" w:after="100" w:afterAutospacing="1" w:line="240" w:lineRule="auto"/>
              <w:jc w:val="left"/>
              <w:rPr>
                <w:szCs w:val="16"/>
              </w:rPr>
            </w:pPr>
            <w:r>
              <w:rPr>
                <w:szCs w:val="16"/>
              </w:rPr>
              <w:t xml:space="preserve">    1）仅可以为汉字、字母以及汉字与符号的组合、字母与符号的组合，符号仅允许下列符号“•”（ GB13000编码为00B7，GB18030编码为A1A4）或“_” 或“-”或空格(“_” 或“-”或空格仅允许半角模式)。</w:t>
            </w:r>
          </w:p>
          <w:p>
            <w:pPr>
              <w:widowControl/>
              <w:spacing w:before="100" w:beforeAutospacing="1" w:after="100" w:afterAutospacing="1" w:line="240" w:lineRule="auto"/>
              <w:jc w:val="left"/>
              <w:rPr>
                <w:szCs w:val="16"/>
              </w:rPr>
            </w:pPr>
            <w:r>
              <w:rPr>
                <w:szCs w:val="16"/>
              </w:rPr>
              <w:t xml:space="preserve">    2）“•”或“_”或“-”只能出现在两个汉字或两个字母之间，两个汉字或两个字母之间只允许有1个符号。   </w:t>
            </w:r>
          </w:p>
          <w:p>
            <w:pPr>
              <w:widowControl/>
              <w:spacing w:before="100" w:beforeAutospacing="1" w:after="100" w:afterAutospacing="1" w:line="240" w:lineRule="auto"/>
              <w:jc w:val="left"/>
              <w:rPr>
                <w:szCs w:val="16"/>
              </w:rPr>
            </w:pPr>
            <w:r>
              <w:rPr>
                <w:szCs w:val="16"/>
              </w:rPr>
              <w:t xml:space="preserve">    3）汉字之间不允许有空格；英文名字母中间只允许有1个空格；汉字与符号之间，字母与符号之间不允许有空格。</w:t>
            </w:r>
          </w:p>
          <w:p>
            <w:pPr>
              <w:widowControl/>
              <w:spacing w:before="100" w:beforeAutospacing="1" w:after="100" w:afterAutospacing="1" w:line="240" w:lineRule="auto"/>
              <w:jc w:val="left"/>
              <w:rPr>
                <w:szCs w:val="16"/>
              </w:rPr>
            </w:pPr>
            <w:r>
              <w:rPr>
                <w:szCs w:val="16"/>
              </w:rPr>
              <w:t xml:space="preserve">    4）必须大于等于3个字符,小于等于 50个字符（字母、数字、符号是相当于1个字符，1个汉字相当于两个字符）。</w:t>
            </w:r>
          </w:p>
          <w:p>
            <w:pPr>
              <w:widowControl/>
              <w:spacing w:before="100" w:beforeAutospacing="1" w:after="100" w:afterAutospacing="1" w:line="240" w:lineRule="auto"/>
              <w:jc w:val="left"/>
              <w:rPr>
                <w:szCs w:val="16"/>
              </w:rPr>
            </w:pPr>
            <w:r>
              <w:rPr>
                <w:szCs w:val="16"/>
              </w:rPr>
              <w:t xml:space="preserve">    5）不满足以上要求，返回错误提示。</w:t>
            </w:r>
          </w:p>
          <w:p>
            <w:pPr>
              <w:widowControl/>
              <w:spacing w:before="100" w:beforeAutospacing="1" w:after="100" w:afterAutospacing="1" w:line="240" w:lineRule="auto"/>
              <w:jc w:val="left"/>
              <w:rPr>
                <w:szCs w:val="16"/>
              </w:rPr>
            </w:pPr>
            <w:r>
              <w:rPr>
                <w:rFonts w:hint="eastAsia"/>
                <w:szCs w:val="16"/>
              </w:rPr>
              <w:t>注：开发人员请不要粘贴此处“•”进行规则开发，请使用字符库中（</w:t>
            </w:r>
            <w:r>
              <w:rPr>
                <w:szCs w:val="16"/>
              </w:rPr>
              <w:t xml:space="preserve"> GB13000编码为00B7，GB18030编码为A1A4）进行开发</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szCs w:val="16"/>
              </w:rPr>
            </w:pPr>
            <w:r>
              <w:rPr>
                <w:rFonts w:hint="eastAsia"/>
                <w:color w:val="000000"/>
                <w:szCs w:val="16"/>
              </w:rPr>
              <w:t>证件类型</w:t>
            </w:r>
          </w:p>
        </w:tc>
        <w:tc>
          <w:tcPr>
            <w:tcW w:w="1057" w:type="dxa"/>
            <w:vAlign w:val="center"/>
          </w:tcPr>
          <w:p>
            <w:pPr>
              <w:spacing w:line="240" w:lineRule="auto"/>
              <w:rPr>
                <w:szCs w:val="16"/>
              </w:rPr>
            </w:pPr>
          </w:p>
        </w:tc>
        <w:tc>
          <w:tcPr>
            <w:tcW w:w="781" w:type="dxa"/>
            <w:vAlign w:val="center"/>
          </w:tcPr>
          <w:p>
            <w:pPr>
              <w:spacing w:line="240" w:lineRule="auto"/>
              <w:rPr>
                <w:szCs w:val="16"/>
              </w:rPr>
            </w:pPr>
            <w:r>
              <w:rPr>
                <w:rFonts w:hint="eastAsia"/>
                <w:szCs w:val="16"/>
              </w:rPr>
              <w:t>是</w:t>
            </w:r>
          </w:p>
        </w:tc>
        <w:tc>
          <w:tcPr>
            <w:tcW w:w="5912" w:type="dxa"/>
            <w:vAlign w:val="center"/>
          </w:tcPr>
          <w:p>
            <w:pPr>
              <w:spacing w:line="240" w:lineRule="auto"/>
              <w:rPr>
                <w:szCs w:val="16"/>
              </w:rPr>
            </w:pPr>
            <w:r>
              <w:t>01-居民身份证,02-护照,03-军人证,05-港澳台同胞证</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color w:val="000000"/>
                <w:szCs w:val="16"/>
              </w:rPr>
            </w:pPr>
            <w:r>
              <w:rPr>
                <w:rFonts w:hint="eastAsia"/>
                <w:color w:val="000000"/>
                <w:szCs w:val="16"/>
              </w:rPr>
              <w:t>证件号码</w:t>
            </w:r>
          </w:p>
        </w:tc>
        <w:tc>
          <w:tcPr>
            <w:tcW w:w="1057" w:type="dxa"/>
            <w:vAlign w:val="center"/>
          </w:tcPr>
          <w:p>
            <w:pPr>
              <w:spacing w:line="240" w:lineRule="auto"/>
              <w:rPr>
                <w:szCs w:val="16"/>
              </w:rPr>
            </w:pPr>
          </w:p>
        </w:tc>
        <w:tc>
          <w:tcPr>
            <w:tcW w:w="781" w:type="dxa"/>
            <w:vAlign w:val="top"/>
          </w:tcPr>
          <w:p>
            <w:pPr>
              <w:spacing w:line="240" w:lineRule="auto"/>
              <w:rPr>
                <w:szCs w:val="16"/>
              </w:rPr>
            </w:pPr>
            <w:r>
              <w:rPr>
                <w:rFonts w:hint="eastAsia"/>
                <w:szCs w:val="16"/>
              </w:rPr>
              <w:t>是</w:t>
            </w:r>
          </w:p>
        </w:tc>
        <w:tc>
          <w:tcPr>
            <w:tcW w:w="5912" w:type="dxa"/>
            <w:vAlign w:val="center"/>
          </w:tcPr>
          <w:p>
            <w:r>
              <w:rPr>
                <w:rFonts w:hint="eastAsia"/>
                <w:color w:val="000000"/>
                <w:szCs w:val="16"/>
              </w:rPr>
              <w:t>不允许超过30个字符；</w:t>
            </w:r>
            <w:r>
              <w:rPr>
                <w:rFonts w:hint="eastAsia"/>
                <w:color w:val="000000"/>
                <w:szCs w:val="16"/>
              </w:rPr>
              <w:br w:type="textWrapping"/>
            </w:r>
            <w:r>
              <w:rPr>
                <w:rFonts w:hint="eastAsia"/>
                <w:color w:val="000000"/>
                <w:szCs w:val="16"/>
              </w:rPr>
              <w:br w:type="textWrapping"/>
            </w:r>
            <w:r>
              <w:rPr>
                <w:rFonts w:hint="eastAsia"/>
              </w:rPr>
              <w:t>当证件类型为“</w:t>
            </w:r>
            <w:r>
              <w:t>01-居民身份证”时，校验长度为18位，18位可带大写X或者小写x</w:t>
            </w:r>
            <w:r>
              <w:rPr>
                <w:rFonts w:hint="eastAsia"/>
              </w:rPr>
              <w:t>，证件号码中的前两位为有效的省份代码；</w:t>
            </w:r>
          </w:p>
          <w:p>
            <w:r>
              <w:rPr>
                <w:rFonts w:hint="eastAsia"/>
              </w:rPr>
              <w:t>当证件类型为“</w:t>
            </w:r>
            <w:r>
              <w:t>02-护照”时，校验证件号7-20个字符；</w:t>
            </w:r>
          </w:p>
          <w:p>
            <w:r>
              <w:rPr>
                <w:rFonts w:hint="eastAsia"/>
              </w:rPr>
              <w:t>当证件类型为“</w:t>
            </w:r>
            <w:r>
              <w:t>03-军人证”时，校验证件号为3-5个汉字+6-12个数字；</w:t>
            </w:r>
          </w:p>
          <w:p>
            <w:pPr>
              <w:widowControl/>
              <w:spacing w:line="240" w:lineRule="auto"/>
              <w:rPr>
                <w:rFonts w:hint="eastAsia"/>
                <w:color w:val="000000"/>
                <w:szCs w:val="16"/>
              </w:rPr>
            </w:pPr>
            <w:r>
              <w:rPr>
                <w:rFonts w:hint="eastAsia"/>
              </w:rPr>
              <w:t>当证件类型为“</w:t>
            </w:r>
            <w:r>
              <w:t>05-港澳台同胞证”时，校验8-20个字符</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color w:val="000000"/>
                <w:szCs w:val="16"/>
              </w:rPr>
            </w:pPr>
            <w:r>
              <w:rPr>
                <w:rFonts w:hint="eastAsia"/>
                <w:color w:val="000000"/>
                <w:szCs w:val="16"/>
              </w:rPr>
              <w:t>出生日期</w:t>
            </w:r>
          </w:p>
        </w:tc>
        <w:tc>
          <w:tcPr>
            <w:tcW w:w="1057" w:type="dxa"/>
            <w:vAlign w:val="center"/>
          </w:tcPr>
          <w:p>
            <w:pPr>
              <w:spacing w:line="240" w:lineRule="auto"/>
              <w:rPr>
                <w:szCs w:val="16"/>
              </w:rPr>
            </w:pPr>
          </w:p>
        </w:tc>
        <w:tc>
          <w:tcPr>
            <w:tcW w:w="781" w:type="dxa"/>
            <w:vAlign w:val="top"/>
          </w:tcPr>
          <w:p>
            <w:pPr>
              <w:spacing w:line="240" w:lineRule="auto"/>
              <w:rPr>
                <w:rFonts w:hint="eastAsia"/>
                <w:szCs w:val="16"/>
              </w:rPr>
            </w:pPr>
            <w:r>
              <w:rPr>
                <w:rFonts w:hint="eastAsia"/>
                <w:szCs w:val="16"/>
              </w:rPr>
              <w:t>是</w:t>
            </w:r>
          </w:p>
        </w:tc>
        <w:tc>
          <w:tcPr>
            <w:tcW w:w="5912" w:type="dxa"/>
            <w:vAlign w:val="center"/>
          </w:tcPr>
          <w:p>
            <w:pPr>
              <w:spacing w:line="240" w:lineRule="auto"/>
              <w:rPr>
                <w:szCs w:val="16"/>
              </w:rPr>
            </w:pPr>
            <w:r>
              <w:rPr>
                <w:rFonts w:hint="eastAsia"/>
              </w:rPr>
              <w:t>如果是身份证根据身份证号码识别；非身份证录入信息，</w:t>
            </w:r>
            <w:r>
              <w:t>必传</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color w:val="000000"/>
                <w:szCs w:val="16"/>
              </w:rPr>
            </w:pPr>
            <w:r>
              <w:rPr>
                <w:rFonts w:hint="eastAsia"/>
                <w:color w:val="000000"/>
                <w:szCs w:val="16"/>
              </w:rPr>
              <w:t>性别</w:t>
            </w:r>
          </w:p>
        </w:tc>
        <w:tc>
          <w:tcPr>
            <w:tcW w:w="1057" w:type="dxa"/>
            <w:vAlign w:val="center"/>
          </w:tcPr>
          <w:p>
            <w:pPr>
              <w:spacing w:line="240" w:lineRule="auto"/>
              <w:rPr>
                <w:szCs w:val="16"/>
              </w:rPr>
            </w:pPr>
          </w:p>
        </w:tc>
        <w:tc>
          <w:tcPr>
            <w:tcW w:w="781" w:type="dxa"/>
            <w:vAlign w:val="top"/>
          </w:tcPr>
          <w:p>
            <w:pPr>
              <w:spacing w:line="240" w:lineRule="auto"/>
              <w:rPr>
                <w:rFonts w:hint="eastAsia"/>
                <w:szCs w:val="16"/>
              </w:rPr>
            </w:pPr>
            <w:r>
              <w:rPr>
                <w:rFonts w:hint="eastAsia"/>
                <w:szCs w:val="16"/>
              </w:rPr>
              <w:t>是</w:t>
            </w:r>
          </w:p>
        </w:tc>
        <w:tc>
          <w:tcPr>
            <w:tcW w:w="5912" w:type="dxa"/>
            <w:vAlign w:val="center"/>
          </w:tcPr>
          <w:p>
            <w:pPr>
              <w:spacing w:line="240" w:lineRule="auto"/>
              <w:rPr>
                <w:szCs w:val="16"/>
              </w:rPr>
            </w:pPr>
            <w:r>
              <w:rPr>
                <w:rFonts w:hint="eastAsia"/>
              </w:rPr>
              <w:t>如果是身份证根据身份证号码识别；非身份证录入信息，</w:t>
            </w:r>
            <w:r>
              <w:t>必传</w:t>
            </w:r>
            <w:r>
              <w:rPr>
                <w:rFonts w:hint="eastAsia"/>
              </w:rPr>
              <w:t xml:space="preserve">，选项1-男，2-女 </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szCs w:val="16"/>
              </w:rPr>
            </w:pPr>
            <w:r>
              <w:rPr>
                <w:rFonts w:hint="eastAsia"/>
                <w:color w:val="000000"/>
                <w:szCs w:val="16"/>
              </w:rPr>
              <w:t>手机号码</w:t>
            </w:r>
          </w:p>
        </w:tc>
        <w:tc>
          <w:tcPr>
            <w:tcW w:w="1057" w:type="dxa"/>
            <w:vAlign w:val="center"/>
          </w:tcPr>
          <w:p>
            <w:pPr>
              <w:spacing w:line="240" w:lineRule="auto"/>
              <w:rPr>
                <w:szCs w:val="16"/>
              </w:rPr>
            </w:pPr>
          </w:p>
        </w:tc>
        <w:tc>
          <w:tcPr>
            <w:tcW w:w="781" w:type="dxa"/>
            <w:vAlign w:val="top"/>
          </w:tcPr>
          <w:p>
            <w:pPr>
              <w:spacing w:line="240" w:lineRule="auto"/>
              <w:rPr>
                <w:szCs w:val="16"/>
              </w:rPr>
            </w:pPr>
            <w:r>
              <w:rPr>
                <w:rFonts w:hint="eastAsia"/>
                <w:szCs w:val="16"/>
              </w:rPr>
              <w:t>是</w:t>
            </w:r>
          </w:p>
        </w:tc>
        <w:tc>
          <w:tcPr>
            <w:tcW w:w="5912" w:type="dxa"/>
            <w:vAlign w:val="center"/>
          </w:tcPr>
          <w:p>
            <w:pPr>
              <w:widowControl/>
              <w:spacing w:line="240" w:lineRule="auto"/>
              <w:rPr>
                <w:rFonts w:hint="eastAsia"/>
                <w:color w:val="404040"/>
                <w:kern w:val="0"/>
                <w:szCs w:val="16"/>
              </w:rPr>
            </w:pPr>
            <w:r>
              <w:rPr>
                <w:rFonts w:hint="eastAsia"/>
                <w:color w:val="404040"/>
                <w:szCs w:val="16"/>
              </w:rPr>
              <w:t>以1开头的11位数字</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szCs w:val="16"/>
              </w:rPr>
            </w:pPr>
            <w:r>
              <w:rPr>
                <w:rFonts w:hint="eastAsia"/>
                <w:color w:val="000000"/>
                <w:szCs w:val="16"/>
              </w:rPr>
              <w:t>电子邮箱</w:t>
            </w:r>
          </w:p>
        </w:tc>
        <w:tc>
          <w:tcPr>
            <w:tcW w:w="1057" w:type="dxa"/>
            <w:vAlign w:val="center"/>
          </w:tcPr>
          <w:p>
            <w:pPr>
              <w:spacing w:line="240" w:lineRule="auto"/>
              <w:rPr>
                <w:szCs w:val="16"/>
              </w:rPr>
            </w:pPr>
          </w:p>
        </w:tc>
        <w:tc>
          <w:tcPr>
            <w:tcW w:w="781" w:type="dxa"/>
            <w:vAlign w:val="center"/>
          </w:tcPr>
          <w:p>
            <w:pPr>
              <w:spacing w:line="240" w:lineRule="auto"/>
              <w:rPr>
                <w:rFonts w:hint="eastAsia"/>
                <w:szCs w:val="16"/>
              </w:rPr>
            </w:pPr>
            <w:r>
              <w:rPr>
                <w:rFonts w:hint="eastAsia"/>
                <w:szCs w:val="16"/>
              </w:rPr>
              <w:t>是</w:t>
            </w:r>
          </w:p>
        </w:tc>
        <w:tc>
          <w:tcPr>
            <w:tcW w:w="5912" w:type="dxa"/>
            <w:vAlign w:val="center"/>
          </w:tcPr>
          <w:p>
            <w:pPr>
              <w:spacing w:line="240" w:lineRule="auto"/>
              <w:rPr>
                <w:szCs w:val="16"/>
              </w:rPr>
            </w:pPr>
            <w:r>
              <w:rPr>
                <w:rFonts w:hint="eastAsia"/>
                <w:szCs w:val="16"/>
              </w:rPr>
              <w:t>用于接收承保</w:t>
            </w:r>
            <w:r>
              <w:rPr>
                <w:szCs w:val="16"/>
              </w:rPr>
              <w:t>电子邮件。</w:t>
            </w:r>
            <w:r>
              <w:rPr>
                <w:rFonts w:hint="eastAsia"/>
                <w:szCs w:val="16"/>
              </w:rPr>
              <w:t>必须包含</w:t>
            </w:r>
            <w:r>
              <w:rPr>
                <w:szCs w:val="16"/>
              </w:rPr>
              <w:t>@字符，不允许超过50字符</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9259" w:type="dxa"/>
            <w:gridSpan w:val="4"/>
            <w:shd w:val="clear" w:color="auto" w:fill="BCE1C0"/>
            <w:vAlign w:val="center"/>
          </w:tcPr>
          <w:p>
            <w:pPr>
              <w:spacing w:line="240" w:lineRule="auto"/>
              <w:rPr>
                <w:szCs w:val="16"/>
              </w:rPr>
            </w:pPr>
            <w:r>
              <w:rPr>
                <w:rFonts w:hint="eastAsia"/>
                <w:szCs w:val="16"/>
              </w:rPr>
              <w:t>被保人信息</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szCs w:val="16"/>
              </w:rPr>
            </w:pPr>
            <w:r>
              <w:rPr>
                <w:rFonts w:hint="eastAsia"/>
                <w:szCs w:val="16"/>
              </w:rPr>
              <w:t>姓名</w:t>
            </w:r>
          </w:p>
        </w:tc>
        <w:tc>
          <w:tcPr>
            <w:tcW w:w="1057" w:type="dxa"/>
            <w:vAlign w:val="center"/>
          </w:tcPr>
          <w:p>
            <w:pPr>
              <w:spacing w:line="240" w:lineRule="auto"/>
              <w:rPr>
                <w:szCs w:val="16"/>
              </w:rPr>
            </w:pPr>
          </w:p>
        </w:tc>
        <w:tc>
          <w:tcPr>
            <w:tcW w:w="781" w:type="dxa"/>
            <w:vAlign w:val="center"/>
          </w:tcPr>
          <w:p>
            <w:pPr>
              <w:spacing w:line="240" w:lineRule="auto"/>
              <w:rPr>
                <w:szCs w:val="16"/>
              </w:rPr>
            </w:pPr>
            <w:r>
              <w:rPr>
                <w:rFonts w:hint="eastAsia"/>
                <w:szCs w:val="16"/>
              </w:rPr>
              <w:t>是</w:t>
            </w:r>
          </w:p>
        </w:tc>
        <w:tc>
          <w:tcPr>
            <w:tcW w:w="5912" w:type="dxa"/>
            <w:vAlign w:val="center"/>
          </w:tcPr>
          <w:p>
            <w:pPr>
              <w:widowControl/>
              <w:spacing w:before="100" w:beforeAutospacing="1" w:after="100" w:afterAutospacing="1" w:line="240" w:lineRule="auto"/>
              <w:jc w:val="left"/>
              <w:rPr>
                <w:szCs w:val="16"/>
              </w:rPr>
            </w:pPr>
            <w:r>
              <w:rPr>
                <w:szCs w:val="16"/>
              </w:rPr>
              <w:t xml:space="preserve">   1）仅可以为汉字、字母以及汉字与符号的组合、字母与符号的组合，符号仅允许下列符号“•”（ GB13000编码为00B7，GB18030编码为A1A4）或“_” 或“-”或空格(“_” 或“-”或空格仅允许半角模式)。</w:t>
            </w:r>
          </w:p>
          <w:p>
            <w:pPr>
              <w:widowControl/>
              <w:spacing w:before="100" w:beforeAutospacing="1" w:after="100" w:afterAutospacing="1" w:line="240" w:lineRule="auto"/>
              <w:jc w:val="left"/>
              <w:rPr>
                <w:szCs w:val="16"/>
              </w:rPr>
            </w:pPr>
            <w:r>
              <w:rPr>
                <w:szCs w:val="16"/>
              </w:rPr>
              <w:t xml:space="preserve">    2）“•”或“_”或“-”只能出现在两个汉字或两个字母之间，两个汉字或两个字母之间只允许有1个符号。   </w:t>
            </w:r>
          </w:p>
          <w:p>
            <w:pPr>
              <w:widowControl/>
              <w:spacing w:before="100" w:beforeAutospacing="1" w:after="100" w:afterAutospacing="1" w:line="240" w:lineRule="auto"/>
              <w:jc w:val="left"/>
              <w:rPr>
                <w:szCs w:val="16"/>
              </w:rPr>
            </w:pPr>
            <w:r>
              <w:rPr>
                <w:szCs w:val="16"/>
              </w:rPr>
              <w:t xml:space="preserve">    3）汉字之间不允许有空格；英文名字母中间只允许有1个空格；汉字与符号之间，字母与符号之间不允许有空格。</w:t>
            </w:r>
          </w:p>
          <w:p>
            <w:pPr>
              <w:widowControl/>
              <w:spacing w:before="100" w:beforeAutospacing="1" w:after="100" w:afterAutospacing="1" w:line="240" w:lineRule="auto"/>
              <w:jc w:val="left"/>
              <w:rPr>
                <w:szCs w:val="16"/>
              </w:rPr>
            </w:pPr>
            <w:r>
              <w:rPr>
                <w:szCs w:val="16"/>
              </w:rPr>
              <w:t xml:space="preserve">    4）必须大于等于3个字符,小于等于 50个字符（字母、数字、符号是相当于1个字符，1个汉字相当于两个字符）。</w:t>
            </w:r>
          </w:p>
          <w:p>
            <w:pPr>
              <w:widowControl/>
              <w:spacing w:before="100" w:beforeAutospacing="1" w:after="100" w:afterAutospacing="1" w:line="240" w:lineRule="auto"/>
              <w:jc w:val="left"/>
              <w:rPr>
                <w:szCs w:val="16"/>
              </w:rPr>
            </w:pPr>
            <w:r>
              <w:rPr>
                <w:szCs w:val="16"/>
              </w:rPr>
              <w:t xml:space="preserve">    5）不满足以上要求，返回错误提示。</w:t>
            </w:r>
          </w:p>
          <w:p>
            <w:pPr>
              <w:spacing w:line="240" w:lineRule="auto"/>
              <w:rPr>
                <w:szCs w:val="16"/>
              </w:rPr>
            </w:pPr>
            <w:r>
              <w:rPr>
                <w:rFonts w:hint="eastAsia"/>
                <w:szCs w:val="16"/>
              </w:rPr>
              <w:t>注：开发人员请不要粘贴此处“•”进行规则开发，请使用字符库中（</w:t>
            </w:r>
            <w:r>
              <w:rPr>
                <w:szCs w:val="16"/>
              </w:rPr>
              <w:t xml:space="preserve"> GB13000编码为00B7，GB18030编码为A1A4）进行开发</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color w:val="000000"/>
                <w:szCs w:val="16"/>
              </w:rPr>
            </w:pPr>
            <w:r>
              <w:rPr>
                <w:rFonts w:hint="eastAsia"/>
                <w:color w:val="000000"/>
                <w:szCs w:val="16"/>
              </w:rPr>
              <w:t>证件类型</w:t>
            </w:r>
          </w:p>
        </w:tc>
        <w:tc>
          <w:tcPr>
            <w:tcW w:w="1057" w:type="dxa"/>
            <w:vAlign w:val="center"/>
          </w:tcPr>
          <w:p>
            <w:pPr>
              <w:spacing w:line="240" w:lineRule="auto"/>
              <w:rPr>
                <w:szCs w:val="16"/>
              </w:rPr>
            </w:pPr>
          </w:p>
        </w:tc>
        <w:tc>
          <w:tcPr>
            <w:tcW w:w="781" w:type="dxa"/>
            <w:vAlign w:val="center"/>
          </w:tcPr>
          <w:p>
            <w:pPr>
              <w:spacing w:line="240" w:lineRule="auto"/>
              <w:rPr>
                <w:szCs w:val="16"/>
              </w:rPr>
            </w:pPr>
            <w:r>
              <w:rPr>
                <w:rFonts w:hint="eastAsia"/>
                <w:szCs w:val="16"/>
              </w:rPr>
              <w:t>是</w:t>
            </w:r>
          </w:p>
        </w:tc>
        <w:tc>
          <w:tcPr>
            <w:tcW w:w="5912" w:type="dxa"/>
            <w:vAlign w:val="center"/>
          </w:tcPr>
          <w:p>
            <w:pPr>
              <w:spacing w:line="240" w:lineRule="auto"/>
              <w:rPr>
                <w:szCs w:val="16"/>
              </w:rPr>
            </w:pPr>
            <w:r>
              <w:t>01-居民身份证,02-护照,03-军人证,05-港澳台同胞证99-其他</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color w:val="000000"/>
                <w:szCs w:val="16"/>
              </w:rPr>
            </w:pPr>
            <w:r>
              <w:rPr>
                <w:rFonts w:hint="eastAsia"/>
                <w:color w:val="000000"/>
                <w:szCs w:val="16"/>
              </w:rPr>
              <w:t>证件号码</w:t>
            </w:r>
          </w:p>
        </w:tc>
        <w:tc>
          <w:tcPr>
            <w:tcW w:w="1057" w:type="dxa"/>
            <w:vAlign w:val="center"/>
          </w:tcPr>
          <w:p>
            <w:pPr>
              <w:spacing w:line="240" w:lineRule="auto"/>
              <w:rPr>
                <w:szCs w:val="16"/>
              </w:rPr>
            </w:pPr>
          </w:p>
        </w:tc>
        <w:tc>
          <w:tcPr>
            <w:tcW w:w="781" w:type="dxa"/>
            <w:vAlign w:val="center"/>
          </w:tcPr>
          <w:p>
            <w:pPr>
              <w:spacing w:line="240" w:lineRule="auto"/>
              <w:rPr>
                <w:szCs w:val="16"/>
              </w:rPr>
            </w:pPr>
            <w:r>
              <w:rPr>
                <w:rFonts w:hint="eastAsia"/>
                <w:szCs w:val="16"/>
              </w:rPr>
              <w:t>是</w:t>
            </w:r>
          </w:p>
        </w:tc>
        <w:tc>
          <w:tcPr>
            <w:tcW w:w="5912" w:type="dxa"/>
            <w:vAlign w:val="center"/>
          </w:tcPr>
          <w:p>
            <w:r>
              <w:rPr>
                <w:rFonts w:hint="eastAsia"/>
              </w:rPr>
              <w:t>当证件类型为“</w:t>
            </w:r>
            <w:r>
              <w:t>01-居民身份证”时，校验长度为18位，18位可带大写X或者小写x</w:t>
            </w:r>
            <w:r>
              <w:rPr>
                <w:rFonts w:hint="eastAsia"/>
              </w:rPr>
              <w:t>，证件号码中的前两位为有效的省份代码；</w:t>
            </w:r>
          </w:p>
          <w:p>
            <w:r>
              <w:rPr>
                <w:rFonts w:hint="eastAsia"/>
              </w:rPr>
              <w:t>当证件类型为“</w:t>
            </w:r>
            <w:r>
              <w:t>02-护照”时，校验证件号7-20个字符；</w:t>
            </w:r>
          </w:p>
          <w:p>
            <w:r>
              <w:rPr>
                <w:rFonts w:hint="eastAsia"/>
              </w:rPr>
              <w:t>当证件类型为“</w:t>
            </w:r>
            <w:r>
              <w:t>03-军人证”时，校验证件号为3-5个汉字+6-12个数字；</w:t>
            </w:r>
          </w:p>
          <w:p>
            <w:r>
              <w:rPr>
                <w:rFonts w:hint="eastAsia"/>
              </w:rPr>
              <w:t>当证件类型为“</w:t>
            </w:r>
            <w:r>
              <w:t>05-港澳台同胞证”时，校验8-20个字符；</w:t>
            </w:r>
          </w:p>
          <w:p>
            <w:pPr>
              <w:spacing w:line="240" w:lineRule="auto"/>
              <w:rPr>
                <w:color w:val="000000"/>
                <w:szCs w:val="16"/>
              </w:rPr>
            </w:pPr>
            <w:r>
              <w:rPr>
                <w:rFonts w:hint="eastAsia"/>
              </w:rPr>
              <w:t>当证件类型为“</w:t>
            </w:r>
            <w:r>
              <w:t>99-其他”时，校验证件号7-20个字符</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color w:val="000000"/>
                <w:szCs w:val="16"/>
              </w:rPr>
            </w:pPr>
            <w:r>
              <w:rPr>
                <w:rFonts w:hint="eastAsia"/>
                <w:color w:val="000000"/>
                <w:szCs w:val="16"/>
              </w:rPr>
              <w:t>出生日期</w:t>
            </w:r>
          </w:p>
        </w:tc>
        <w:tc>
          <w:tcPr>
            <w:tcW w:w="1057" w:type="dxa"/>
            <w:vAlign w:val="center"/>
          </w:tcPr>
          <w:p>
            <w:pPr>
              <w:spacing w:line="240" w:lineRule="auto"/>
              <w:rPr>
                <w:szCs w:val="16"/>
              </w:rPr>
            </w:pPr>
          </w:p>
        </w:tc>
        <w:tc>
          <w:tcPr>
            <w:tcW w:w="781" w:type="dxa"/>
            <w:vAlign w:val="top"/>
          </w:tcPr>
          <w:p>
            <w:pPr>
              <w:spacing w:line="240" w:lineRule="auto"/>
              <w:rPr>
                <w:rFonts w:hint="eastAsia"/>
                <w:szCs w:val="16"/>
              </w:rPr>
            </w:pPr>
            <w:r>
              <w:rPr>
                <w:rFonts w:hint="eastAsia"/>
                <w:szCs w:val="16"/>
              </w:rPr>
              <w:t>是</w:t>
            </w:r>
          </w:p>
        </w:tc>
        <w:tc>
          <w:tcPr>
            <w:tcW w:w="5912" w:type="dxa"/>
            <w:vAlign w:val="center"/>
          </w:tcPr>
          <w:p>
            <w:pPr>
              <w:spacing w:line="240" w:lineRule="auto"/>
              <w:rPr>
                <w:szCs w:val="16"/>
              </w:rPr>
            </w:pPr>
            <w:r>
              <w:rPr>
                <w:rFonts w:hint="eastAsia"/>
              </w:rPr>
              <w:t>如果是身份证根据身份证号码识别；非身份证录入信息，</w:t>
            </w:r>
            <w:r>
              <w:t>必传</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color w:val="000000"/>
                <w:szCs w:val="16"/>
              </w:rPr>
            </w:pPr>
            <w:r>
              <w:rPr>
                <w:rFonts w:hint="eastAsia"/>
                <w:color w:val="000000"/>
                <w:szCs w:val="16"/>
              </w:rPr>
              <w:t>性别</w:t>
            </w:r>
          </w:p>
        </w:tc>
        <w:tc>
          <w:tcPr>
            <w:tcW w:w="1057" w:type="dxa"/>
            <w:vAlign w:val="center"/>
          </w:tcPr>
          <w:p>
            <w:pPr>
              <w:spacing w:line="240" w:lineRule="auto"/>
              <w:rPr>
                <w:szCs w:val="16"/>
              </w:rPr>
            </w:pPr>
          </w:p>
        </w:tc>
        <w:tc>
          <w:tcPr>
            <w:tcW w:w="781" w:type="dxa"/>
            <w:vAlign w:val="top"/>
          </w:tcPr>
          <w:p>
            <w:pPr>
              <w:spacing w:line="240" w:lineRule="auto"/>
              <w:rPr>
                <w:rFonts w:hint="eastAsia"/>
                <w:szCs w:val="16"/>
              </w:rPr>
            </w:pPr>
            <w:r>
              <w:rPr>
                <w:rFonts w:hint="eastAsia"/>
                <w:szCs w:val="16"/>
              </w:rPr>
              <w:t>是</w:t>
            </w:r>
          </w:p>
        </w:tc>
        <w:tc>
          <w:tcPr>
            <w:tcW w:w="5912" w:type="dxa"/>
            <w:vAlign w:val="center"/>
          </w:tcPr>
          <w:p>
            <w:pPr>
              <w:spacing w:line="240" w:lineRule="auto"/>
              <w:rPr>
                <w:szCs w:val="16"/>
              </w:rPr>
            </w:pPr>
            <w:r>
              <w:rPr>
                <w:rFonts w:hint="eastAsia"/>
              </w:rPr>
              <w:t>如果是身份证根据身份证号码识别；非身份证录入信息，</w:t>
            </w:r>
            <w:r>
              <w:t>必传</w:t>
            </w:r>
            <w:r>
              <w:rPr>
                <w:rFonts w:hint="eastAsia"/>
              </w:rPr>
              <w:t xml:space="preserve">，选项： 1-男，2-女 </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rFonts w:hint="eastAsia"/>
                <w:color w:val="000000"/>
                <w:szCs w:val="16"/>
              </w:rPr>
            </w:pPr>
            <w:r>
              <w:rPr>
                <w:rFonts w:hint="eastAsia"/>
                <w:color w:val="000000"/>
                <w:szCs w:val="16"/>
              </w:rPr>
              <w:t>手机号码</w:t>
            </w:r>
          </w:p>
        </w:tc>
        <w:tc>
          <w:tcPr>
            <w:tcW w:w="1057" w:type="dxa"/>
            <w:vAlign w:val="center"/>
          </w:tcPr>
          <w:p>
            <w:pPr>
              <w:spacing w:line="240" w:lineRule="auto"/>
              <w:rPr>
                <w:szCs w:val="16"/>
              </w:rPr>
            </w:pPr>
          </w:p>
        </w:tc>
        <w:tc>
          <w:tcPr>
            <w:tcW w:w="781" w:type="dxa"/>
            <w:vAlign w:val="top"/>
          </w:tcPr>
          <w:p>
            <w:pPr>
              <w:spacing w:line="240" w:lineRule="auto"/>
              <w:rPr>
                <w:rFonts w:hint="eastAsia"/>
                <w:szCs w:val="16"/>
              </w:rPr>
            </w:pPr>
            <w:r>
              <w:rPr>
                <w:rFonts w:hint="eastAsia"/>
                <w:szCs w:val="16"/>
              </w:rPr>
              <w:t>是</w:t>
            </w:r>
          </w:p>
        </w:tc>
        <w:tc>
          <w:tcPr>
            <w:tcW w:w="5912" w:type="dxa"/>
            <w:vAlign w:val="center"/>
          </w:tcPr>
          <w:p>
            <w:pPr>
              <w:spacing w:line="240" w:lineRule="auto"/>
              <w:rPr>
                <w:rFonts w:hint="eastAsia"/>
              </w:rPr>
            </w:pPr>
            <w:r>
              <w:rPr>
                <w:rFonts w:hint="eastAsia"/>
              </w:rPr>
              <w:t>以1开头的11位数字</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rFonts w:hint="eastAsia"/>
                <w:color w:val="000000"/>
                <w:szCs w:val="16"/>
              </w:rPr>
            </w:pPr>
            <w:r>
              <w:rPr>
                <w:rFonts w:hint="eastAsia"/>
                <w:color w:val="000000"/>
                <w:szCs w:val="16"/>
              </w:rPr>
              <w:t>电子邮箱</w:t>
            </w:r>
          </w:p>
        </w:tc>
        <w:tc>
          <w:tcPr>
            <w:tcW w:w="1057" w:type="dxa"/>
            <w:vAlign w:val="center"/>
          </w:tcPr>
          <w:p>
            <w:pPr>
              <w:spacing w:line="240" w:lineRule="auto"/>
              <w:rPr>
                <w:szCs w:val="16"/>
              </w:rPr>
            </w:pPr>
          </w:p>
        </w:tc>
        <w:tc>
          <w:tcPr>
            <w:tcW w:w="781" w:type="dxa"/>
            <w:vAlign w:val="top"/>
          </w:tcPr>
          <w:p>
            <w:pPr>
              <w:spacing w:line="240" w:lineRule="auto"/>
              <w:rPr>
                <w:rFonts w:hint="eastAsia"/>
                <w:szCs w:val="16"/>
              </w:rPr>
            </w:pPr>
            <w:r>
              <w:rPr>
                <w:rFonts w:hint="eastAsia"/>
                <w:szCs w:val="16"/>
              </w:rPr>
              <w:t>是</w:t>
            </w:r>
          </w:p>
        </w:tc>
        <w:tc>
          <w:tcPr>
            <w:tcW w:w="5912" w:type="dxa"/>
            <w:vAlign w:val="center"/>
          </w:tcPr>
          <w:p>
            <w:pPr>
              <w:spacing w:line="240" w:lineRule="auto"/>
              <w:rPr>
                <w:rFonts w:hint="eastAsia"/>
              </w:rPr>
            </w:pPr>
            <w:r>
              <w:rPr>
                <w:rFonts w:hint="eastAsia"/>
                <w:szCs w:val="16"/>
              </w:rPr>
              <w:t>用于接收承保</w:t>
            </w:r>
            <w:r>
              <w:rPr>
                <w:szCs w:val="16"/>
              </w:rPr>
              <w:t>电子邮件。</w:t>
            </w:r>
            <w:r>
              <w:rPr>
                <w:rFonts w:hint="eastAsia"/>
                <w:szCs w:val="16"/>
              </w:rPr>
              <w:t>必须包含</w:t>
            </w:r>
            <w:r>
              <w:rPr>
                <w:szCs w:val="16"/>
              </w:rPr>
              <w:t>@字符，不允许超过50字符</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color w:val="000000"/>
                <w:szCs w:val="16"/>
              </w:rPr>
            </w:pPr>
            <w:r>
              <w:rPr>
                <w:rFonts w:hint="eastAsia"/>
                <w:color w:val="000000"/>
                <w:szCs w:val="16"/>
              </w:rPr>
              <w:t>投保人与被保险人关系</w:t>
            </w:r>
          </w:p>
        </w:tc>
        <w:tc>
          <w:tcPr>
            <w:tcW w:w="1057" w:type="dxa"/>
            <w:vAlign w:val="center"/>
          </w:tcPr>
          <w:p>
            <w:pPr>
              <w:spacing w:line="240" w:lineRule="auto"/>
              <w:rPr>
                <w:szCs w:val="16"/>
              </w:rPr>
            </w:pPr>
          </w:p>
        </w:tc>
        <w:tc>
          <w:tcPr>
            <w:tcW w:w="781" w:type="dxa"/>
            <w:vAlign w:val="center"/>
          </w:tcPr>
          <w:p>
            <w:pPr>
              <w:spacing w:line="240" w:lineRule="auto"/>
              <w:rPr>
                <w:szCs w:val="16"/>
              </w:rPr>
            </w:pPr>
            <w:r>
              <w:rPr>
                <w:rFonts w:hint="eastAsia"/>
                <w:szCs w:val="16"/>
              </w:rPr>
              <w:t>是</w:t>
            </w:r>
          </w:p>
        </w:tc>
        <w:tc>
          <w:tcPr>
            <w:tcW w:w="5912" w:type="dxa"/>
            <w:vAlign w:val="center"/>
          </w:tcPr>
          <w:p>
            <w:pPr>
              <w:spacing w:line="240" w:lineRule="auto"/>
              <w:rPr>
                <w:rFonts w:hint="eastAsia"/>
                <w:szCs w:val="16"/>
              </w:rPr>
            </w:pPr>
            <w:r>
              <w:rPr>
                <w:rFonts w:hint="eastAsia"/>
                <w:szCs w:val="16"/>
              </w:rPr>
              <w:t>核心</w:t>
            </w:r>
            <w:r>
              <w:rPr>
                <w:szCs w:val="16"/>
              </w:rPr>
              <w:t>系统为“</w:t>
            </w:r>
            <w:r>
              <w:rPr>
                <w:rFonts w:hint="eastAsia"/>
                <w:szCs w:val="16"/>
              </w:rPr>
              <w:t>被保险人</w:t>
            </w:r>
            <w:r>
              <w:rPr>
                <w:szCs w:val="16"/>
              </w:rPr>
              <w:t>与投保人关系”</w:t>
            </w:r>
            <w:r>
              <w:rPr>
                <w:rFonts w:hint="eastAsia"/>
                <w:szCs w:val="16"/>
              </w:rPr>
              <w:t>，</w:t>
            </w:r>
            <w:r>
              <w:rPr>
                <w:szCs w:val="16"/>
              </w:rPr>
              <w:t>需做转换，</w:t>
            </w:r>
            <w:r>
              <w:rPr>
                <w:rFonts w:hint="eastAsia"/>
                <w:szCs w:val="16"/>
              </w:rPr>
              <w:t>对应</w:t>
            </w:r>
            <w:r>
              <w:rPr>
                <w:szCs w:val="16"/>
              </w:rPr>
              <w:t>核心系统的值</w:t>
            </w:r>
            <w:r>
              <w:rPr>
                <w:rFonts w:hint="eastAsia"/>
                <w:szCs w:val="16"/>
              </w:rPr>
              <w:t>分别</w:t>
            </w:r>
            <w:r>
              <w:rPr>
                <w:szCs w:val="16"/>
              </w:rPr>
              <w:t>为：</w:t>
            </w:r>
            <w:r>
              <w:rPr>
                <w:rFonts w:hint="eastAsia"/>
                <w:szCs w:val="16"/>
              </w:rPr>
              <w:t>01</w:t>
            </w:r>
            <w:r>
              <w:rPr>
                <w:szCs w:val="16"/>
              </w:rPr>
              <w:t>-本人、</w:t>
            </w:r>
            <w:r>
              <w:rPr>
                <w:rStyle w:val="10"/>
                <w:rFonts w:hint="eastAsia"/>
              </w:rPr>
              <w:t>02-配偶、03-父母、</w:t>
            </w:r>
            <w:r>
              <w:rPr>
                <w:rFonts w:hint="eastAsia"/>
                <w:szCs w:val="16"/>
              </w:rPr>
              <w:t>40</w:t>
            </w:r>
            <w:r>
              <w:rPr>
                <w:szCs w:val="16"/>
              </w:rPr>
              <w:t>-</w:t>
            </w:r>
            <w:r>
              <w:rPr>
                <w:rFonts w:hint="eastAsia"/>
                <w:szCs w:val="16"/>
              </w:rPr>
              <w:t>子</w:t>
            </w:r>
            <w:r>
              <w:rPr>
                <w:szCs w:val="16"/>
              </w:rPr>
              <w:t>女</w:t>
            </w:r>
            <w:r>
              <w:rPr>
                <w:rFonts w:hint="eastAsia"/>
                <w:szCs w:val="16"/>
              </w:rPr>
              <w:t>。</w:t>
            </w:r>
          </w:p>
          <w:p>
            <w:pPr>
              <w:spacing w:line="240" w:lineRule="auto"/>
              <w:rPr>
                <w:rFonts w:hint="eastAsia"/>
                <w:szCs w:val="16"/>
              </w:rPr>
            </w:pPr>
            <w:r>
              <w:rPr>
                <w:rFonts w:hint="eastAsia"/>
                <w:szCs w:val="16"/>
              </w:rPr>
              <w:t>幼儿版、少儿版被保人为投保人子女；</w:t>
            </w:r>
          </w:p>
          <w:p>
            <w:pPr>
              <w:spacing w:line="240" w:lineRule="auto"/>
              <w:rPr>
                <w:rFonts w:hint="eastAsia"/>
                <w:szCs w:val="16"/>
              </w:rPr>
            </w:pPr>
            <w:r>
              <w:rPr>
                <w:rFonts w:hint="eastAsia"/>
                <w:szCs w:val="16"/>
              </w:rPr>
              <w:t>成人版被保人限为投保人本人、配偶、父母、子女；</w:t>
            </w:r>
          </w:p>
          <w:p>
            <w:pPr>
              <w:spacing w:line="240" w:lineRule="auto"/>
              <w:rPr>
                <w:szCs w:val="16"/>
              </w:rPr>
            </w:pPr>
            <w:r>
              <w:rPr>
                <w:rFonts w:hint="eastAsia"/>
                <w:szCs w:val="16"/>
              </w:rPr>
              <w:t>老人版被保人限为投保人本人、配偶、父母。</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color w:val="000000"/>
                <w:szCs w:val="16"/>
              </w:rPr>
            </w:pPr>
            <w:r>
              <w:rPr>
                <w:rFonts w:hint="eastAsia"/>
                <w:color w:val="000000"/>
                <w:szCs w:val="16"/>
              </w:rPr>
              <w:t>职业</w:t>
            </w:r>
          </w:p>
        </w:tc>
        <w:tc>
          <w:tcPr>
            <w:tcW w:w="1057" w:type="dxa"/>
            <w:vAlign w:val="center"/>
          </w:tcPr>
          <w:p>
            <w:pPr>
              <w:spacing w:line="240" w:lineRule="auto"/>
              <w:rPr>
                <w:szCs w:val="16"/>
              </w:rPr>
            </w:pPr>
          </w:p>
        </w:tc>
        <w:tc>
          <w:tcPr>
            <w:tcW w:w="781" w:type="dxa"/>
            <w:vAlign w:val="center"/>
          </w:tcPr>
          <w:p>
            <w:pPr>
              <w:spacing w:line="240" w:lineRule="auto"/>
              <w:rPr>
                <w:szCs w:val="16"/>
              </w:rPr>
            </w:pPr>
            <w:r>
              <w:rPr>
                <w:rFonts w:hint="eastAsia"/>
                <w:szCs w:val="16"/>
              </w:rPr>
              <w:t>是</w:t>
            </w:r>
          </w:p>
        </w:tc>
        <w:tc>
          <w:tcPr>
            <w:tcW w:w="5912" w:type="dxa"/>
            <w:vAlign w:val="center"/>
          </w:tcPr>
          <w:p>
            <w:pPr>
              <w:spacing w:line="240" w:lineRule="auto"/>
              <w:rPr>
                <w:szCs w:val="16"/>
              </w:rPr>
            </w:pPr>
            <w:r>
              <w:rPr>
                <w:rFonts w:hint="eastAsia"/>
                <w:szCs w:val="16"/>
              </w:rPr>
              <w:t>限制1-4类职业投保</w:t>
            </w:r>
          </w:p>
          <w:p>
            <w:pPr>
              <w:rPr>
                <w:szCs w:val="16"/>
              </w:rPr>
            </w:pPr>
            <w:bookmarkStart w:id="29" w:name="_1617716667"/>
            <w:bookmarkEnd w:id="29"/>
            <w:r>
              <w:rPr>
                <w:szCs w:val="16"/>
              </w:rPr>
              <w:object>
                <v:shape id="_x0000_i1034" o:spt="75" type="#_x0000_t75" style="height:65.25pt;width:72pt;" o:ole="t" filled="f" o:preferrelative="t" stroked="f" coordsize="21600,21600">
                  <v:path/>
                  <v:fill on="f" alignshape="1" focussize="0,0"/>
                  <v:stroke on="f"/>
                  <v:imagedata r:id="rId15" o:title=""/>
                  <o:lock v:ext="edit" aspectratio="t"/>
                  <w10:wrap type="none"/>
                  <w10:anchorlock/>
                </v:shape>
                <o:OLEObject Type="Embed" ProgID="Excel.Sheet.12" ShapeID="_x0000_i1034" DrawAspect="Icon" ObjectID="_1468075730" r:id="rId14">
                  <o:LockedField>false</o:LockedField>
                </o:OLEObject>
              </w:object>
            </w:r>
          </w:p>
          <w:p>
            <w:r>
              <w:rPr>
                <w:rFonts w:hint="eastAsia"/>
              </w:rPr>
              <w:t>渠道</w:t>
            </w:r>
            <w:r>
              <w:t>传入</w:t>
            </w:r>
            <w:r>
              <w:rPr>
                <w:rFonts w:hint="eastAsia"/>
              </w:rPr>
              <w:t>1-4类</w:t>
            </w:r>
            <w:r>
              <w:t>职业代码</w:t>
            </w:r>
            <w:r>
              <w:rPr>
                <w:rFonts w:hint="eastAsia"/>
              </w:rPr>
              <w:t>，</w:t>
            </w:r>
            <w:r>
              <w:t>泰康根据</w:t>
            </w:r>
            <w:r>
              <w:rPr>
                <w:rFonts w:hint="eastAsia"/>
              </w:rPr>
              <w:t>传入值</w:t>
            </w:r>
            <w:r>
              <w:t>进行匹配，</w:t>
            </w:r>
          </w:p>
          <w:p>
            <w:pPr>
              <w:spacing w:line="240" w:lineRule="auto"/>
              <w:rPr>
                <w:szCs w:val="16"/>
              </w:rPr>
            </w:pPr>
            <w:r>
              <w:t>核心系统</w:t>
            </w:r>
            <w:r>
              <w:rPr>
                <w:rFonts w:hint="eastAsia"/>
              </w:rPr>
              <w:t>“职业大类代码、职业工种代码</w:t>
            </w:r>
            <w:r>
              <w:t>”</w:t>
            </w:r>
            <w:r>
              <w:rPr>
                <w:rFonts w:hint="eastAsia"/>
              </w:rPr>
              <w:t>取</w:t>
            </w:r>
            <w:r>
              <w:t>传入值</w:t>
            </w:r>
            <w:r>
              <w:rPr>
                <w:rFonts w:hint="eastAsia"/>
              </w:rPr>
              <w:t>，传入的职业也需记录在被保险人信息的“职业”字段中</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rFonts w:hint="eastAsia"/>
                <w:color w:val="000000"/>
                <w:szCs w:val="16"/>
              </w:rPr>
            </w:pPr>
            <w:r>
              <w:rPr>
                <w:rFonts w:hint="eastAsia"/>
                <w:color w:val="000000"/>
                <w:szCs w:val="16"/>
              </w:rPr>
              <w:t>健康告知</w:t>
            </w:r>
          </w:p>
        </w:tc>
        <w:tc>
          <w:tcPr>
            <w:tcW w:w="1057" w:type="dxa"/>
            <w:vAlign w:val="center"/>
          </w:tcPr>
          <w:p>
            <w:pPr>
              <w:spacing w:line="240" w:lineRule="auto"/>
              <w:rPr>
                <w:szCs w:val="16"/>
              </w:rPr>
            </w:pPr>
          </w:p>
        </w:tc>
        <w:tc>
          <w:tcPr>
            <w:tcW w:w="781" w:type="dxa"/>
            <w:vAlign w:val="center"/>
          </w:tcPr>
          <w:p>
            <w:pPr>
              <w:spacing w:line="240" w:lineRule="auto"/>
              <w:rPr>
                <w:rFonts w:hint="eastAsia"/>
                <w:szCs w:val="16"/>
              </w:rPr>
            </w:pPr>
            <w:r>
              <w:rPr>
                <w:rFonts w:hint="eastAsia"/>
                <w:szCs w:val="16"/>
              </w:rPr>
              <w:t>否</w:t>
            </w:r>
          </w:p>
        </w:tc>
        <w:tc>
          <w:tcPr>
            <w:tcW w:w="5912" w:type="dxa"/>
            <w:vAlign w:val="center"/>
          </w:tcPr>
          <w:p>
            <w:pPr>
              <w:spacing w:line="240" w:lineRule="auto"/>
            </w:pPr>
            <w:r>
              <w:rPr>
                <w:rFonts w:hint="eastAsia"/>
              </w:rPr>
              <w:t>渠道前端</w:t>
            </w:r>
            <w:r>
              <w:t>投保页面</w:t>
            </w:r>
            <w:r>
              <w:rPr>
                <w:rFonts w:hint="eastAsia"/>
              </w:rPr>
              <w:t>必须勾选是或否，只有全部</w:t>
            </w:r>
            <w:r>
              <w:t>勾选否，</w:t>
            </w:r>
            <w:r>
              <w:rPr>
                <w:rFonts w:hint="eastAsia"/>
              </w:rPr>
              <w:t>符合健康告知条件的健康体才能进入下一部被保险人信息填写界面，否则直接提示“不符合投保条件，不能购买”。此信息由前端渠道进行控制</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rFonts w:hint="eastAsia"/>
                <w:color w:val="000000"/>
                <w:szCs w:val="16"/>
              </w:rPr>
            </w:pPr>
            <w:r>
              <w:rPr>
                <w:rFonts w:hint="eastAsia"/>
              </w:rPr>
              <w:t>定额方案代码</w:t>
            </w:r>
          </w:p>
        </w:tc>
        <w:tc>
          <w:tcPr>
            <w:tcW w:w="1057" w:type="dxa"/>
            <w:vAlign w:val="center"/>
          </w:tcPr>
          <w:p>
            <w:pPr>
              <w:spacing w:line="240" w:lineRule="auto"/>
              <w:rPr>
                <w:szCs w:val="16"/>
              </w:rPr>
            </w:pPr>
          </w:p>
        </w:tc>
        <w:tc>
          <w:tcPr>
            <w:tcW w:w="781" w:type="dxa"/>
            <w:vAlign w:val="center"/>
          </w:tcPr>
          <w:p>
            <w:pPr>
              <w:spacing w:line="240" w:lineRule="auto"/>
              <w:rPr>
                <w:rFonts w:hint="eastAsia"/>
                <w:szCs w:val="16"/>
              </w:rPr>
            </w:pPr>
            <w:r>
              <w:rPr>
                <w:rFonts w:hint="eastAsia"/>
              </w:rPr>
              <w:t>是</w:t>
            </w:r>
          </w:p>
        </w:tc>
        <w:tc>
          <w:tcPr>
            <w:tcW w:w="5912" w:type="dxa"/>
            <w:vAlign w:val="center"/>
          </w:tcPr>
          <w:p>
            <w:pPr>
              <w:spacing w:line="240" w:lineRule="auto"/>
              <w:rPr>
                <w:rFonts w:hint="eastAsia"/>
              </w:rPr>
            </w:pPr>
            <w:r>
              <w:rPr>
                <w:rFonts w:hint="eastAsia"/>
              </w:rPr>
              <w:t>页面不显示，后台必传。</w:t>
            </w:r>
          </w:p>
          <w:p>
            <w:pPr>
              <w:spacing w:line="240" w:lineRule="auto"/>
            </w:pPr>
            <w:r>
              <w:rPr>
                <w:rFonts w:hint="eastAsia"/>
              </w:rPr>
              <w:t>10位，前4位代表险种，第5、6、7、8位（由A000开始编码，A000,A001...AZZZ，.B000...ZZZZ）代表业务端产品，第9、10位（由01开始编码，01、02...99）代表定额方案代码</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szCs w:val="16"/>
              </w:rPr>
            </w:pPr>
            <w:r>
              <w:rPr>
                <w:rStyle w:val="18"/>
                <w:rFonts w:hint="eastAsia"/>
                <w:szCs w:val="16"/>
              </w:rPr>
              <w:t>投保</w:t>
            </w:r>
            <w:r>
              <w:rPr>
                <w:rStyle w:val="18"/>
                <w:szCs w:val="16"/>
              </w:rPr>
              <w:t>日期</w:t>
            </w:r>
          </w:p>
        </w:tc>
        <w:tc>
          <w:tcPr>
            <w:tcW w:w="1057" w:type="dxa"/>
            <w:vAlign w:val="center"/>
          </w:tcPr>
          <w:p>
            <w:pPr>
              <w:spacing w:line="240" w:lineRule="auto"/>
              <w:rPr>
                <w:szCs w:val="16"/>
              </w:rPr>
            </w:pPr>
          </w:p>
        </w:tc>
        <w:tc>
          <w:tcPr>
            <w:tcW w:w="781" w:type="dxa"/>
            <w:vAlign w:val="center"/>
          </w:tcPr>
          <w:p>
            <w:pPr>
              <w:spacing w:line="240" w:lineRule="auto"/>
              <w:rPr>
                <w:szCs w:val="16"/>
              </w:rPr>
            </w:pPr>
            <w:r>
              <w:rPr>
                <w:rFonts w:hint="eastAsia"/>
                <w:szCs w:val="16"/>
              </w:rPr>
              <w:t>是</w:t>
            </w:r>
          </w:p>
        </w:tc>
        <w:tc>
          <w:tcPr>
            <w:tcW w:w="5912" w:type="dxa"/>
            <w:vAlign w:val="center"/>
          </w:tcPr>
          <w:p>
            <w:pPr>
              <w:spacing w:line="240" w:lineRule="auto"/>
              <w:rPr>
                <w:rFonts w:hint="eastAsia"/>
                <w:szCs w:val="16"/>
              </w:rPr>
            </w:pPr>
            <w:r>
              <w:rPr>
                <w:rStyle w:val="18"/>
                <w:rFonts w:hint="eastAsia"/>
                <w:szCs w:val="16"/>
              </w:rPr>
              <w:t>渠道传入</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rFonts w:hint="eastAsia"/>
              </w:rPr>
            </w:pPr>
            <w:r>
              <w:rPr>
                <w:rStyle w:val="18"/>
                <w:rFonts w:hint="eastAsia"/>
                <w:szCs w:val="16"/>
              </w:rPr>
              <w:t>起保日期</w:t>
            </w:r>
          </w:p>
        </w:tc>
        <w:tc>
          <w:tcPr>
            <w:tcW w:w="1057" w:type="dxa"/>
            <w:vAlign w:val="center"/>
          </w:tcPr>
          <w:p>
            <w:pPr>
              <w:spacing w:line="240" w:lineRule="auto"/>
            </w:pPr>
          </w:p>
        </w:tc>
        <w:tc>
          <w:tcPr>
            <w:tcW w:w="781" w:type="dxa"/>
            <w:vAlign w:val="center"/>
          </w:tcPr>
          <w:p>
            <w:pPr>
              <w:spacing w:line="240" w:lineRule="auto"/>
              <w:rPr>
                <w:rFonts w:hint="eastAsia"/>
              </w:rPr>
            </w:pPr>
            <w:r>
              <w:rPr>
                <w:rFonts w:hint="eastAsia"/>
                <w:szCs w:val="16"/>
              </w:rPr>
              <w:t>是</w:t>
            </w:r>
          </w:p>
        </w:tc>
        <w:tc>
          <w:tcPr>
            <w:tcW w:w="5912" w:type="dxa"/>
            <w:vAlign w:val="center"/>
          </w:tcPr>
          <w:p>
            <w:pPr>
              <w:spacing w:line="240" w:lineRule="auto"/>
              <w:rPr>
                <w:rFonts w:hint="eastAsia"/>
                <w:color w:val="404040"/>
                <w:sz w:val="20"/>
                <w:szCs w:val="20"/>
              </w:rPr>
            </w:pPr>
            <w:r>
              <w:rPr>
                <w:rStyle w:val="18"/>
                <w:rFonts w:hint="eastAsia"/>
                <w:szCs w:val="16"/>
              </w:rPr>
              <w:t>参见3.2.4.3保险期限</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rFonts w:hint="eastAsia"/>
              </w:rPr>
            </w:pPr>
            <w:r>
              <w:rPr>
                <w:rStyle w:val="18"/>
                <w:rFonts w:hint="eastAsia"/>
                <w:szCs w:val="16"/>
              </w:rPr>
              <w:t>终保日期</w:t>
            </w:r>
          </w:p>
        </w:tc>
        <w:tc>
          <w:tcPr>
            <w:tcW w:w="1057" w:type="dxa"/>
            <w:vAlign w:val="center"/>
          </w:tcPr>
          <w:p>
            <w:pPr>
              <w:spacing w:line="240" w:lineRule="auto"/>
            </w:pPr>
          </w:p>
        </w:tc>
        <w:tc>
          <w:tcPr>
            <w:tcW w:w="781" w:type="dxa"/>
            <w:vAlign w:val="center"/>
          </w:tcPr>
          <w:p>
            <w:pPr>
              <w:spacing w:line="240" w:lineRule="auto"/>
              <w:rPr>
                <w:rFonts w:hint="eastAsia"/>
              </w:rPr>
            </w:pPr>
            <w:r>
              <w:rPr>
                <w:rFonts w:hint="eastAsia"/>
                <w:szCs w:val="16"/>
              </w:rPr>
              <w:t>是</w:t>
            </w:r>
          </w:p>
        </w:tc>
        <w:tc>
          <w:tcPr>
            <w:tcW w:w="5912" w:type="dxa"/>
            <w:vAlign w:val="center"/>
          </w:tcPr>
          <w:p>
            <w:pPr>
              <w:spacing w:line="240" w:lineRule="auto"/>
              <w:rPr>
                <w:rFonts w:hint="eastAsia"/>
                <w:color w:val="404040"/>
                <w:sz w:val="20"/>
                <w:szCs w:val="20"/>
              </w:rPr>
            </w:pPr>
            <w:r>
              <w:rPr>
                <w:rStyle w:val="18"/>
                <w:rFonts w:hint="eastAsia"/>
                <w:szCs w:val="16"/>
              </w:rPr>
              <w:t>参见3.2.4.3保险期限</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rFonts w:hint="eastAsia"/>
              </w:rPr>
            </w:pPr>
            <w:r>
              <w:rPr>
                <w:rStyle w:val="18"/>
                <w:rFonts w:hint="eastAsia"/>
                <w:color w:val="000000"/>
                <w:szCs w:val="16"/>
              </w:rPr>
              <w:t>险别</w:t>
            </w:r>
            <w:r>
              <w:rPr>
                <w:rStyle w:val="18"/>
                <w:color w:val="000000"/>
                <w:szCs w:val="16"/>
              </w:rPr>
              <w:t>保额</w:t>
            </w:r>
          </w:p>
        </w:tc>
        <w:tc>
          <w:tcPr>
            <w:tcW w:w="1057" w:type="dxa"/>
            <w:vAlign w:val="center"/>
          </w:tcPr>
          <w:p>
            <w:pPr>
              <w:spacing w:line="240" w:lineRule="auto"/>
            </w:pPr>
          </w:p>
        </w:tc>
        <w:tc>
          <w:tcPr>
            <w:tcW w:w="781" w:type="dxa"/>
            <w:vAlign w:val="center"/>
          </w:tcPr>
          <w:p>
            <w:pPr>
              <w:spacing w:line="240" w:lineRule="auto"/>
              <w:rPr>
                <w:rFonts w:hint="eastAsia"/>
              </w:rPr>
            </w:pPr>
            <w:r>
              <w:rPr>
                <w:rFonts w:hint="eastAsia"/>
                <w:color w:val="000000"/>
                <w:szCs w:val="16"/>
              </w:rPr>
              <w:t>是</w:t>
            </w:r>
          </w:p>
        </w:tc>
        <w:tc>
          <w:tcPr>
            <w:tcW w:w="5912" w:type="dxa"/>
            <w:vAlign w:val="center"/>
          </w:tcPr>
          <w:p>
            <w:pPr>
              <w:spacing w:line="240" w:lineRule="auto"/>
              <w:rPr>
                <w:rFonts w:hint="eastAsia"/>
                <w:color w:val="404040"/>
                <w:sz w:val="20"/>
                <w:szCs w:val="20"/>
              </w:rPr>
            </w:pPr>
            <w:r>
              <w:rPr>
                <w:rFonts w:hint="eastAsia"/>
              </w:rPr>
              <w:t>必传，校验与泰康保额一致性</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rFonts w:hint="eastAsia"/>
              </w:rPr>
            </w:pPr>
            <w:r>
              <w:rPr>
                <w:rStyle w:val="18"/>
                <w:rFonts w:hint="eastAsia"/>
                <w:color w:val="000000"/>
                <w:szCs w:val="16"/>
              </w:rPr>
              <w:t>总保费</w:t>
            </w:r>
          </w:p>
        </w:tc>
        <w:tc>
          <w:tcPr>
            <w:tcW w:w="1057" w:type="dxa"/>
            <w:vAlign w:val="center"/>
          </w:tcPr>
          <w:p>
            <w:pPr>
              <w:spacing w:line="240" w:lineRule="auto"/>
            </w:pPr>
          </w:p>
        </w:tc>
        <w:tc>
          <w:tcPr>
            <w:tcW w:w="781" w:type="dxa"/>
            <w:vAlign w:val="center"/>
          </w:tcPr>
          <w:p>
            <w:pPr>
              <w:spacing w:line="240" w:lineRule="auto"/>
              <w:rPr>
                <w:rFonts w:hint="eastAsia"/>
              </w:rPr>
            </w:pPr>
            <w:r>
              <w:rPr>
                <w:rFonts w:hint="eastAsia"/>
                <w:color w:val="000000"/>
                <w:szCs w:val="16"/>
              </w:rPr>
              <w:t>是</w:t>
            </w:r>
          </w:p>
        </w:tc>
        <w:tc>
          <w:tcPr>
            <w:tcW w:w="5912" w:type="dxa"/>
            <w:vAlign w:val="center"/>
          </w:tcPr>
          <w:p>
            <w:pPr>
              <w:spacing w:line="240" w:lineRule="auto"/>
              <w:rPr>
                <w:rFonts w:hint="eastAsia"/>
                <w:color w:val="404040"/>
                <w:sz w:val="20"/>
                <w:szCs w:val="20"/>
              </w:rPr>
            </w:pPr>
            <w:r>
              <w:rPr>
                <w:rFonts w:hint="eastAsia"/>
              </w:rPr>
              <w:t>必传，校验与泰康保额一致性</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9259" w:type="dxa"/>
            <w:gridSpan w:val="4"/>
            <w:vAlign w:val="center"/>
          </w:tcPr>
          <w:p>
            <w:pPr>
              <w:spacing w:line="240" w:lineRule="auto"/>
              <w:rPr>
                <w:rStyle w:val="18"/>
                <w:szCs w:val="16"/>
              </w:rPr>
            </w:pPr>
            <w:r>
              <w:rPr>
                <w:rFonts w:hint="eastAsia"/>
                <w:szCs w:val="16"/>
                <w:highlight w:val="yellow"/>
              </w:rPr>
              <w:t>续保信息</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rFonts w:cs="宋体"/>
                <w:color w:val="000000"/>
                <w:kern w:val="0"/>
                <w:highlight w:val="yellow"/>
              </w:rPr>
            </w:pPr>
            <w:r>
              <w:rPr>
                <w:rFonts w:hint="eastAsia" w:cs="宋体"/>
                <w:color w:val="000000"/>
                <w:kern w:val="0"/>
                <w:highlight w:val="yellow"/>
              </w:rPr>
              <w:t>续保标记</w:t>
            </w:r>
          </w:p>
        </w:tc>
        <w:tc>
          <w:tcPr>
            <w:tcW w:w="1057" w:type="dxa"/>
            <w:vAlign w:val="center"/>
          </w:tcPr>
          <w:p>
            <w:pPr>
              <w:spacing w:line="240" w:lineRule="auto"/>
              <w:rPr>
                <w:highlight w:val="yellow"/>
              </w:rPr>
            </w:pPr>
          </w:p>
        </w:tc>
        <w:tc>
          <w:tcPr>
            <w:tcW w:w="781" w:type="dxa"/>
            <w:vAlign w:val="top"/>
          </w:tcPr>
          <w:p>
            <w:pPr>
              <w:spacing w:line="240" w:lineRule="auto"/>
              <w:jc w:val="left"/>
              <w:rPr>
                <w:szCs w:val="22"/>
                <w:highlight w:val="yellow"/>
              </w:rPr>
            </w:pPr>
            <w:r>
              <w:rPr>
                <w:rFonts w:hint="eastAsia"/>
                <w:szCs w:val="22"/>
                <w:highlight w:val="yellow"/>
              </w:rPr>
              <w:t>条件出现</w:t>
            </w:r>
          </w:p>
        </w:tc>
        <w:tc>
          <w:tcPr>
            <w:tcW w:w="5912" w:type="dxa"/>
            <w:vAlign w:val="center"/>
          </w:tcPr>
          <w:p>
            <w:pPr>
              <w:spacing w:line="240" w:lineRule="auto"/>
              <w:rPr>
                <w:highlight w:val="yellow"/>
              </w:rPr>
            </w:pPr>
            <w:r>
              <w:rPr>
                <w:rFonts w:hint="eastAsia"/>
                <w:highlight w:val="yellow"/>
              </w:rPr>
              <w:t xml:space="preserve">渠道传入 </w:t>
            </w:r>
          </w:p>
          <w:p>
            <w:pPr>
              <w:spacing w:line="240" w:lineRule="auto"/>
              <w:rPr>
                <w:highlight w:val="yellow"/>
              </w:rPr>
            </w:pPr>
            <w:r>
              <w:rPr>
                <w:rFonts w:hint="eastAsia"/>
                <w:highlight w:val="yellow"/>
              </w:rPr>
              <w:t>当</w:t>
            </w:r>
            <w:r>
              <w:rPr>
                <w:highlight w:val="yellow"/>
              </w:rPr>
              <w:t>传入</w:t>
            </w:r>
            <w:r>
              <w:rPr>
                <w:rFonts w:hint="eastAsia"/>
                <w:highlight w:val="yellow"/>
              </w:rPr>
              <w:t>续保</w:t>
            </w:r>
            <w:r>
              <w:rPr>
                <w:highlight w:val="yellow"/>
              </w:rPr>
              <w:t>标记后，核心在</w:t>
            </w:r>
            <w:r>
              <w:rPr>
                <w:rFonts w:hint="eastAsia"/>
                <w:highlight w:val="yellow"/>
              </w:rPr>
              <w:t>数据库</w:t>
            </w:r>
            <w:r>
              <w:rPr>
                <w:highlight w:val="yellow"/>
              </w:rPr>
              <w:t>中为保单记续保标记，页面不显示</w:t>
            </w:r>
          </w:p>
        </w:tc>
      </w:tr>
      <w:tr>
        <w:tblPrEx>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Layout w:type="fixed"/>
          <w:tblCellMar>
            <w:top w:w="0" w:type="dxa"/>
            <w:left w:w="108" w:type="dxa"/>
            <w:bottom w:w="0" w:type="dxa"/>
            <w:right w:w="108" w:type="dxa"/>
          </w:tblCellMar>
        </w:tblPrEx>
        <w:tc>
          <w:tcPr>
            <w:tcW w:w="1509" w:type="dxa"/>
            <w:vAlign w:val="center"/>
          </w:tcPr>
          <w:p>
            <w:pPr>
              <w:spacing w:line="240" w:lineRule="auto"/>
              <w:rPr>
                <w:rFonts w:cs="宋体"/>
                <w:color w:val="000000"/>
                <w:kern w:val="0"/>
                <w:highlight w:val="yellow"/>
              </w:rPr>
            </w:pPr>
            <w:r>
              <w:rPr>
                <w:rFonts w:hint="eastAsia" w:cs="宋体"/>
                <w:color w:val="000000"/>
                <w:kern w:val="0"/>
                <w:highlight w:val="yellow"/>
              </w:rPr>
              <w:t>老</w:t>
            </w:r>
            <w:r>
              <w:rPr>
                <w:rFonts w:cs="宋体"/>
                <w:color w:val="000000"/>
                <w:kern w:val="0"/>
                <w:highlight w:val="yellow"/>
              </w:rPr>
              <w:t>保单号</w:t>
            </w:r>
          </w:p>
        </w:tc>
        <w:tc>
          <w:tcPr>
            <w:tcW w:w="1057" w:type="dxa"/>
            <w:vAlign w:val="center"/>
          </w:tcPr>
          <w:p>
            <w:pPr>
              <w:spacing w:line="240" w:lineRule="auto"/>
              <w:rPr>
                <w:highlight w:val="yellow"/>
              </w:rPr>
            </w:pPr>
          </w:p>
        </w:tc>
        <w:tc>
          <w:tcPr>
            <w:tcW w:w="781" w:type="dxa"/>
            <w:vAlign w:val="top"/>
          </w:tcPr>
          <w:p>
            <w:pPr>
              <w:spacing w:line="240" w:lineRule="auto"/>
              <w:jc w:val="left"/>
              <w:rPr>
                <w:szCs w:val="22"/>
                <w:highlight w:val="yellow"/>
              </w:rPr>
            </w:pPr>
            <w:r>
              <w:rPr>
                <w:rFonts w:hint="eastAsia"/>
                <w:szCs w:val="22"/>
                <w:highlight w:val="yellow"/>
              </w:rPr>
              <w:t>条件出现</w:t>
            </w:r>
          </w:p>
        </w:tc>
        <w:tc>
          <w:tcPr>
            <w:tcW w:w="5912" w:type="dxa"/>
            <w:vAlign w:val="center"/>
          </w:tcPr>
          <w:p>
            <w:pPr>
              <w:spacing w:line="240" w:lineRule="auto"/>
              <w:rPr>
                <w:highlight w:val="yellow"/>
              </w:rPr>
            </w:pPr>
            <w:r>
              <w:rPr>
                <w:rFonts w:hint="eastAsia"/>
                <w:highlight w:val="yellow"/>
              </w:rPr>
              <w:t>渠道传入</w:t>
            </w:r>
          </w:p>
          <w:p>
            <w:pPr>
              <w:spacing w:line="240" w:lineRule="auto"/>
              <w:rPr>
                <w:highlight w:val="yellow"/>
              </w:rPr>
            </w:pPr>
            <w:r>
              <w:rPr>
                <w:rFonts w:hint="eastAsia"/>
                <w:highlight w:val="yellow"/>
              </w:rPr>
              <w:t>当</w:t>
            </w:r>
            <w:r>
              <w:rPr>
                <w:highlight w:val="yellow"/>
              </w:rPr>
              <w:t>传入</w:t>
            </w:r>
            <w:r>
              <w:rPr>
                <w:rFonts w:hint="eastAsia"/>
                <w:highlight w:val="yellow"/>
              </w:rPr>
              <w:t>老保单号</w:t>
            </w:r>
            <w:r>
              <w:rPr>
                <w:highlight w:val="yellow"/>
              </w:rPr>
              <w:t>后，核心在</w:t>
            </w:r>
            <w:r>
              <w:rPr>
                <w:rFonts w:hint="eastAsia"/>
                <w:highlight w:val="yellow"/>
              </w:rPr>
              <w:t>数据库与页面</w:t>
            </w:r>
            <w:r>
              <w:rPr>
                <w:highlight w:val="yellow"/>
              </w:rPr>
              <w:t>中记录续保原保单号</w:t>
            </w:r>
          </w:p>
        </w:tc>
      </w:tr>
    </w:tbl>
    <w:p>
      <w:pPr>
        <w:pStyle w:val="5"/>
        <w:ind w:left="864"/>
      </w:pPr>
      <w:r>
        <w:rPr>
          <w:rFonts w:hint="eastAsia"/>
        </w:rPr>
        <w:t>分期交费</w:t>
      </w:r>
    </w:p>
    <w:p>
      <w:pPr>
        <w:pStyle w:val="13"/>
        <w:numPr>
          <w:ilvl w:val="0"/>
          <w:numId w:val="8"/>
        </w:numPr>
        <w:ind w:firstLineChars="0"/>
        <w:rPr>
          <w:color w:val="008000"/>
        </w:rPr>
      </w:pPr>
      <w:r>
        <w:rPr>
          <w:rFonts w:hint="eastAsia"/>
        </w:rPr>
        <w:t>保单是否可以分期交费？______B_____A</w:t>
      </w:r>
      <w:r>
        <w:t>.</w:t>
      </w:r>
      <w:r>
        <w:rPr>
          <w:rFonts w:hint="eastAsia"/>
        </w:rPr>
        <w:t>可</w:t>
      </w:r>
      <w:r>
        <w:t>以B.</w:t>
      </w:r>
      <w:r>
        <w:rPr>
          <w:rFonts w:hint="eastAsia"/>
        </w:rPr>
        <w:t>不</w:t>
      </w:r>
      <w:r>
        <w:t>可以</w:t>
      </w:r>
      <w:r>
        <w:rPr>
          <w:rFonts w:hint="eastAsia"/>
        </w:rPr>
        <w:t>。</w:t>
      </w:r>
    </w:p>
    <w:p>
      <w:pPr>
        <w:pStyle w:val="5"/>
        <w:ind w:left="864"/>
      </w:pPr>
      <w:r>
        <w:rPr>
          <w:rFonts w:hint="eastAsia"/>
        </w:rPr>
        <w:t>保险</w:t>
      </w:r>
      <w:r>
        <w:t>期限</w:t>
      </w:r>
      <w:r>
        <w:rPr>
          <w:rFonts w:hint="eastAsia"/>
        </w:rPr>
        <w:t>（含新保和续保）</w:t>
      </w:r>
    </w:p>
    <w:p>
      <w:pPr>
        <w:pStyle w:val="13"/>
        <w:numPr>
          <w:ilvl w:val="0"/>
          <w:numId w:val="8"/>
        </w:numPr>
        <w:ind w:firstLineChars="0"/>
      </w:pPr>
      <w:r>
        <w:rPr>
          <w:rFonts w:hint="eastAsia"/>
        </w:rPr>
        <w:t>保险</w:t>
      </w:r>
      <w:r>
        <w:t>期限有何</w:t>
      </w:r>
      <w:r>
        <w:rPr>
          <w:rFonts w:hint="eastAsia"/>
        </w:rPr>
        <w:t>特殊</w:t>
      </w:r>
      <w:r>
        <w:t>要求？（</w:t>
      </w:r>
      <w:r>
        <w:rPr>
          <w:rFonts w:hint="eastAsia"/>
        </w:rPr>
        <w:t>如</w:t>
      </w:r>
      <w:r>
        <w:t>不做特殊声明，则</w:t>
      </w:r>
      <w:r>
        <w:rPr>
          <w:rFonts w:hint="eastAsia"/>
        </w:rPr>
        <w:t>起</w:t>
      </w:r>
      <w:r>
        <w:t>保日默认</w:t>
      </w:r>
      <w:r>
        <w:rPr>
          <w:rFonts w:hint="eastAsia"/>
        </w:rPr>
        <w:t>为</w:t>
      </w:r>
      <w:r>
        <w:t>投保日</w:t>
      </w:r>
      <w:r>
        <w:rPr>
          <w:rFonts w:hint="eastAsia"/>
        </w:rPr>
        <w:t>+1，保</w:t>
      </w:r>
      <w:r>
        <w:t>险期</w:t>
      </w:r>
      <w:r>
        <w:rPr>
          <w:rFonts w:hint="eastAsia"/>
        </w:rPr>
        <w:t>限1年</w:t>
      </w:r>
      <w:r>
        <w:t>）</w:t>
      </w:r>
    </w:p>
    <w:p>
      <w:pPr>
        <w:pStyle w:val="14"/>
        <w:numPr>
          <w:ilvl w:val="0"/>
          <w:numId w:val="15"/>
        </w:numPr>
        <w:ind w:hanging="431" w:firstLineChars="0"/>
      </w:pPr>
      <w:r>
        <w:rPr>
          <w:rFonts w:hint="eastAsia"/>
        </w:rPr>
        <w:t xml:space="preserve"> 投保时间取值规则：_____</w:t>
      </w:r>
      <w:r>
        <w:rPr>
          <w:rFonts w:hint="eastAsia"/>
          <w:lang w:val="en-US" w:eastAsia="zh-CN"/>
        </w:rPr>
        <w:t>A</w:t>
      </w:r>
      <w:r>
        <w:rPr>
          <w:rFonts w:hint="eastAsia"/>
        </w:rPr>
        <w:t>__</w:t>
      </w:r>
      <w:r>
        <w:t>A.</w:t>
      </w:r>
      <w:r>
        <w:rPr>
          <w:rFonts w:hint="eastAsia"/>
        </w:rPr>
        <w:t>泰康接收到报文时间 B</w:t>
      </w:r>
      <w:r>
        <w:t>.</w:t>
      </w:r>
      <w:r>
        <w:rPr>
          <w:rFonts w:hint="eastAsia"/>
        </w:rPr>
        <w:t>前端传入</w:t>
      </w:r>
    </w:p>
    <w:p>
      <w:pPr>
        <w:pStyle w:val="14"/>
        <w:numPr>
          <w:ilvl w:val="0"/>
          <w:numId w:val="15"/>
        </w:numPr>
        <w:ind w:hanging="431" w:firstLineChars="0"/>
      </w:pPr>
      <w:r>
        <w:rPr>
          <w:rFonts w:hint="eastAsia"/>
        </w:rPr>
        <w:t>起保时间取值规则：____A____A</w:t>
      </w:r>
      <w:r>
        <w:t>.</w:t>
      </w:r>
      <w:r>
        <w:rPr>
          <w:rFonts w:hint="eastAsia"/>
        </w:rPr>
        <w:t>投保日期+4天零时 B.前端传入</w:t>
      </w:r>
    </w:p>
    <w:p>
      <w:pPr>
        <w:pStyle w:val="14"/>
        <w:ind w:left="1140" w:firstLine="0" w:firstLineChars="0"/>
      </w:pPr>
      <w:r>
        <w:rPr>
          <w:rFonts w:hint="eastAsia"/>
        </w:rPr>
        <w:t>时间精确级别：____A____A</w:t>
      </w:r>
      <w:r>
        <w:t>.</w:t>
      </w:r>
      <w:r>
        <w:rPr>
          <w:rFonts w:hint="eastAsia"/>
        </w:rPr>
        <w:t>精确到天 B.精确到时分秒</w:t>
      </w:r>
    </w:p>
    <w:p>
      <w:pPr>
        <w:pStyle w:val="14"/>
        <w:numPr>
          <w:ilvl w:val="0"/>
          <w:numId w:val="16"/>
        </w:numPr>
        <w:ind w:hanging="431" w:firstLineChars="0"/>
      </w:pPr>
      <w:r>
        <w:rPr>
          <w:rFonts w:hint="eastAsia"/>
        </w:rPr>
        <w:t>终保日期取值规则：_____A___A</w:t>
      </w:r>
      <w:r>
        <w:t>.</w:t>
      </w:r>
      <w:r>
        <w:rPr>
          <w:rFonts w:hint="eastAsia"/>
        </w:rPr>
        <w:t>起保日期+</w:t>
      </w:r>
      <w:r>
        <w:t>1</w:t>
      </w:r>
      <w:r>
        <w:rPr>
          <w:rFonts w:hint="eastAsia"/>
        </w:rPr>
        <w:t>年2</w:t>
      </w:r>
      <w:r>
        <w:t>4</w:t>
      </w:r>
      <w:r>
        <w:rPr>
          <w:rFonts w:hint="eastAsia"/>
        </w:rPr>
        <w:t>时 B.前端传入 C</w:t>
      </w:r>
      <w:r>
        <w:t>.</w:t>
      </w:r>
      <w:r>
        <w:rPr>
          <w:rFonts w:hint="eastAsia"/>
        </w:rPr>
        <w:t>根据保险期限计算</w:t>
      </w:r>
    </w:p>
    <w:p>
      <w:pPr>
        <w:pStyle w:val="14"/>
        <w:numPr>
          <w:ilvl w:val="0"/>
          <w:numId w:val="16"/>
        </w:numPr>
        <w:ind w:hanging="431" w:firstLineChars="0"/>
      </w:pPr>
      <w:r>
        <w:rPr>
          <w:rFonts w:hint="eastAsia"/>
        </w:rPr>
        <w:t>时间精确级别：___A_____A</w:t>
      </w:r>
      <w:r>
        <w:t>.</w:t>
      </w:r>
      <w:r>
        <w:rPr>
          <w:rFonts w:hint="eastAsia"/>
        </w:rPr>
        <w:t>精确到天 B.精确到时分秒</w:t>
      </w:r>
    </w:p>
    <w:p>
      <w:pPr>
        <w:pStyle w:val="14"/>
        <w:numPr>
          <w:ilvl w:val="0"/>
          <w:numId w:val="16"/>
        </w:numPr>
        <w:ind w:hanging="431" w:firstLineChars="0"/>
      </w:pPr>
      <w:r>
        <w:rPr>
          <w:rFonts w:hint="eastAsia"/>
        </w:rPr>
        <w:t>保险期限：___一年_____</w:t>
      </w:r>
    </w:p>
    <w:p>
      <w:pPr>
        <w:pStyle w:val="13"/>
        <w:tabs>
          <w:tab w:val="left" w:pos="720"/>
        </w:tabs>
        <w:ind w:firstLine="0" w:firstLineChars="0"/>
        <w:rPr>
          <w:rFonts w:hint="eastAsia"/>
        </w:rPr>
      </w:pPr>
    </w:p>
    <w:p>
      <w:pPr>
        <w:ind w:left="720"/>
        <w:jc w:val="left"/>
        <w:rPr>
          <w:rFonts w:hint="eastAsia"/>
        </w:rPr>
      </w:pPr>
      <w:r>
        <w:rPr>
          <w:rFonts w:hint="eastAsia"/>
          <w:szCs w:val="20"/>
        </w:rPr>
        <w:t>1）</w:t>
      </w:r>
      <w:r>
        <w:rPr>
          <w:rFonts w:hint="eastAsia"/>
        </w:rPr>
        <w:t>新保流程承保保单，按新保方案的起保日期计算。即t+4生效</w:t>
      </w:r>
    </w:p>
    <w:p>
      <w:pPr>
        <w:ind w:left="720"/>
        <w:jc w:val="left"/>
        <w:rPr>
          <w:szCs w:val="20"/>
        </w:rPr>
      </w:pPr>
      <w:r>
        <w:rPr>
          <w:rFonts w:hint="eastAsia"/>
          <w:szCs w:val="20"/>
        </w:rPr>
        <w:t>2）1307续保流程承保保单，起保日期为旧保单止期+1日的零时起保或续保申请单投保日+1日零时起保。</w:t>
      </w:r>
    </w:p>
    <w:p>
      <w:pPr>
        <w:ind w:left="720"/>
        <w:jc w:val="left"/>
        <w:rPr>
          <w:szCs w:val="20"/>
        </w:rPr>
      </w:pPr>
      <w:r>
        <w:rPr>
          <w:rFonts w:hint="eastAsia"/>
          <w:szCs w:val="20"/>
        </w:rPr>
        <w:t>例如：上期保单到期日为2017年5月20日23:59:59，则从2017年4月21日00:00：00至2017年5月20日23:59:59及2017年5月21日00:00:00至2017年6月19日23:59:59期间可进行续保投保，2017年4月19日及2017年6月20日则续保核保不通过；</w:t>
      </w:r>
    </w:p>
    <w:p>
      <w:pPr>
        <w:ind w:left="720"/>
      </w:pPr>
      <w:r>
        <w:rPr>
          <w:rFonts w:hint="eastAsia"/>
        </w:rPr>
        <w:t>且2017年4月21日00:00：00至2017年5月20日23:59:59续保的保单，续保生效日为2017年5月21日00:00:00-2018年5月20日23:59:59，若2017年5月25日续保，则续保生效日为2017年5月26日00:00:00-2018年5月25日23:59:59。</w:t>
      </w:r>
    </w:p>
    <w:p>
      <w:pPr>
        <w:pStyle w:val="5"/>
        <w:ind w:left="864"/>
      </w:pPr>
      <w:r>
        <w:t>团体投保</w:t>
      </w:r>
    </w:p>
    <w:p>
      <w:pPr>
        <w:pStyle w:val="13"/>
        <w:numPr>
          <w:ilvl w:val="0"/>
          <w:numId w:val="8"/>
        </w:numPr>
        <w:ind w:firstLineChars="0"/>
      </w:pPr>
      <w:bookmarkStart w:id="30" w:name="_Toc433029142"/>
      <w:r>
        <w:rPr>
          <w:rFonts w:hint="eastAsia"/>
        </w:rPr>
        <w:t>本</w:t>
      </w:r>
      <w:r>
        <w:t>产品计划是否允许团体投保？</w:t>
      </w:r>
      <w:r>
        <w:rPr>
          <w:rFonts w:hint="eastAsia"/>
        </w:rPr>
        <w:t>_____B______A</w:t>
      </w:r>
      <w:r>
        <w:t>.</w:t>
      </w:r>
      <w:r>
        <w:rPr>
          <w:rFonts w:hint="eastAsia"/>
        </w:rPr>
        <w:t>可</w:t>
      </w:r>
      <w:r>
        <w:t>以B.</w:t>
      </w:r>
      <w:r>
        <w:rPr>
          <w:rFonts w:hint="eastAsia"/>
        </w:rPr>
        <w:t>不</w:t>
      </w:r>
      <w:r>
        <w:t>可以</w:t>
      </w:r>
      <w:r>
        <w:rPr>
          <w:rFonts w:hint="eastAsia"/>
        </w:rPr>
        <w:t>。</w:t>
      </w:r>
    </w:p>
    <w:p>
      <w:pPr>
        <w:pStyle w:val="13"/>
        <w:numPr>
          <w:ilvl w:val="0"/>
          <w:numId w:val="8"/>
        </w:numPr>
        <w:ind w:firstLineChars="0"/>
      </w:pPr>
      <w:r>
        <w:rPr>
          <w:rFonts w:hint="eastAsia"/>
        </w:rPr>
        <w:t>团体意</w:t>
      </w:r>
      <w:r>
        <w:t>外险</w:t>
      </w:r>
      <w:r>
        <w:rPr>
          <w:rFonts w:hint="eastAsia"/>
        </w:rPr>
        <w:t>被</w:t>
      </w:r>
      <w:r>
        <w:t>保险人的</w:t>
      </w:r>
      <w:r>
        <w:rPr>
          <w:rFonts w:hint="eastAsia"/>
        </w:rPr>
        <w:t>采</w:t>
      </w:r>
      <w:r>
        <w:t>集方式有两种：计名方式和不计</w:t>
      </w:r>
      <w:r>
        <w:rPr>
          <w:rFonts w:hint="eastAsia"/>
        </w:rPr>
        <w:t>名</w:t>
      </w:r>
      <w:r>
        <w:t>方式，不计名方式不需要采集被保险人信息</w:t>
      </w:r>
      <w:r>
        <w:rPr>
          <w:rFonts w:hint="eastAsia"/>
        </w:rPr>
        <w:t>。</w:t>
      </w:r>
      <w:r>
        <w:t>计</w:t>
      </w:r>
      <w:r>
        <w:rPr>
          <w:rFonts w:hint="eastAsia"/>
        </w:rPr>
        <w:t>名</w:t>
      </w:r>
      <w:r>
        <w:t>方式采用导入</w:t>
      </w:r>
      <w:r>
        <w:rPr>
          <w:rFonts w:hint="eastAsia"/>
        </w:rPr>
        <w:t>被</w:t>
      </w:r>
      <w:r>
        <w:t>保险</w:t>
      </w:r>
      <w:r>
        <w:rPr>
          <w:rFonts w:hint="eastAsia"/>
        </w:rPr>
        <w:t>信息</w:t>
      </w:r>
      <w:r>
        <w:t>。团意险被保险人</w:t>
      </w:r>
      <w:r>
        <w:rPr>
          <w:rFonts w:hint="eastAsia"/>
        </w:rPr>
        <w:t>的</w:t>
      </w:r>
      <w:r>
        <w:t>采集需要采用哪</w:t>
      </w:r>
      <w:r>
        <w:rPr>
          <w:rFonts w:hint="eastAsia"/>
        </w:rPr>
        <w:t>种</w:t>
      </w:r>
      <w:r>
        <w:t>方式？</w:t>
      </w:r>
      <w:r>
        <w:rPr>
          <w:rFonts w:hint="eastAsia"/>
        </w:rPr>
        <w:t>_________A</w:t>
      </w:r>
      <w:r>
        <w:t>.</w:t>
      </w:r>
      <w:r>
        <w:rPr>
          <w:rFonts w:hint="eastAsia"/>
        </w:rPr>
        <w:t xml:space="preserve"> 计名</w:t>
      </w:r>
      <w:r>
        <w:t>方式B.</w:t>
      </w:r>
      <w:r>
        <w:rPr>
          <w:rFonts w:hint="eastAsia"/>
        </w:rPr>
        <w:t xml:space="preserve"> 不计</w:t>
      </w:r>
      <w:r>
        <w:t>名方式C.</w:t>
      </w:r>
      <w:r>
        <w:rPr>
          <w:rFonts w:hint="eastAsia"/>
        </w:rPr>
        <w:t>计</w:t>
      </w:r>
      <w:r>
        <w:t>名方式和不计名方式均提供。</w:t>
      </w:r>
    </w:p>
    <w:p>
      <w:pPr>
        <w:pStyle w:val="13"/>
        <w:numPr>
          <w:ilvl w:val="0"/>
          <w:numId w:val="8"/>
        </w:numPr>
        <w:ind w:firstLineChars="0"/>
      </w:pPr>
      <w:r>
        <w:rPr>
          <w:rFonts w:hint="eastAsia"/>
        </w:rPr>
        <w:t>若</w:t>
      </w:r>
      <w:r>
        <w:t>要采用计</w:t>
      </w:r>
      <w:r>
        <w:rPr>
          <w:rFonts w:hint="eastAsia"/>
        </w:rPr>
        <w:t>名</w:t>
      </w:r>
      <w:r>
        <w:t>方式，则需要提供</w:t>
      </w:r>
      <w:r>
        <w:rPr>
          <w:rFonts w:hint="eastAsia"/>
        </w:rPr>
        <w:t>导</w:t>
      </w:r>
      <w:r>
        <w:t>入被保险人</w:t>
      </w:r>
      <w:r>
        <w:rPr>
          <w:rFonts w:hint="eastAsia"/>
        </w:rPr>
        <w:t>的</w:t>
      </w:r>
      <w:r>
        <w:t>文档模板。</w:t>
      </w:r>
    </w:p>
    <w:bookmarkEnd w:id="30"/>
    <w:p>
      <w:pPr>
        <w:pStyle w:val="5"/>
        <w:numPr>
          <w:ilvl w:val="0"/>
          <w:numId w:val="0"/>
        </w:numPr>
        <w:ind w:left="864"/>
      </w:pPr>
      <w:bookmarkStart w:id="31" w:name="_Toc433029143"/>
      <w:r>
        <w:rPr>
          <w:rFonts w:hint="eastAsia"/>
        </w:rPr>
        <w:t>告</w:t>
      </w:r>
      <w:r>
        <w:t>知</w:t>
      </w:r>
      <w:r>
        <w:rPr>
          <w:rFonts w:hint="eastAsia"/>
        </w:rPr>
        <w:t>声明</w:t>
      </w:r>
      <w:bookmarkEnd w:id="31"/>
      <w:r>
        <w:rPr>
          <w:rFonts w:hint="eastAsia"/>
        </w:rPr>
        <w:t>（</w:t>
      </w:r>
      <w:r>
        <w:t>投保</w:t>
      </w:r>
      <w:r>
        <w:rPr>
          <w:rFonts w:hint="eastAsia"/>
        </w:rPr>
        <w:t>须知、健康告知</w:t>
      </w:r>
      <w:r>
        <w:t>）</w:t>
      </w:r>
    </w:p>
    <w:p>
      <w:pPr>
        <w:pStyle w:val="13"/>
        <w:numPr>
          <w:ilvl w:val="0"/>
          <w:numId w:val="8"/>
        </w:numPr>
        <w:ind w:firstLineChars="0"/>
      </w:pPr>
      <w:bookmarkStart w:id="32" w:name="_Toc433029144"/>
      <w:r>
        <w:rPr>
          <w:rFonts w:hint="eastAsia"/>
        </w:rPr>
        <w:t>请</w:t>
      </w:r>
      <w:r>
        <w:t>提供</w:t>
      </w:r>
      <w:r>
        <w:rPr>
          <w:rFonts w:hint="eastAsia"/>
        </w:rPr>
        <w:t>告</w:t>
      </w:r>
      <w:r>
        <w:t>知</w:t>
      </w:r>
      <w:r>
        <w:rPr>
          <w:rFonts w:hint="eastAsia"/>
        </w:rPr>
        <w:t>声明</w:t>
      </w:r>
      <w:r>
        <w:t>的内容</w:t>
      </w:r>
      <w:r>
        <w:rPr>
          <w:rFonts w:hint="eastAsia"/>
        </w:rPr>
        <w:t>。（告知声明中需包含【公司偿付能力告知】内容，且为变动值，应支持配置，每季度配置一次新值，配置后，显示配置后的最新结果）。</w:t>
      </w:r>
    </w:p>
    <w:p>
      <w:pPr>
        <w:pStyle w:val="13"/>
        <w:ind w:left="720" w:firstLine="0" w:firstLineChars="0"/>
        <w:rPr>
          <w:rFonts w:hint="eastAsia"/>
          <w:bdr w:val="single" w:color="auto" w:sz="4" w:space="0"/>
        </w:rPr>
      </w:pPr>
      <w:bookmarkStart w:id="33" w:name="_MON_1536062316"/>
      <w:bookmarkEnd w:id="33"/>
      <w:bookmarkStart w:id="34" w:name="_MON_1553001114"/>
      <w:bookmarkEnd w:id="34"/>
      <w:bookmarkStart w:id="35" w:name="_MON_1553000355"/>
      <w:bookmarkEnd w:id="35"/>
      <w:bookmarkStart w:id="36" w:name="_MON_1546421388"/>
      <w:bookmarkEnd w:id="36"/>
      <w:bookmarkStart w:id="37" w:name="_MON_1559542200"/>
      <w:bookmarkEnd w:id="37"/>
      <w:r>
        <w:rPr>
          <w:rFonts w:hint="eastAsia"/>
          <w:bdr w:val="single" w:color="auto" w:sz="4" w:space="0"/>
        </w:rPr>
        <w:t xml:space="preserve">  </w:t>
      </w:r>
      <w:bookmarkStart w:id="38" w:name="_MON_1559542104"/>
      <w:bookmarkEnd w:id="38"/>
    </w:p>
    <w:p>
      <w:pPr>
        <w:pStyle w:val="13"/>
        <w:ind w:left="720" w:firstLine="0" w:firstLineChars="0"/>
        <w:rPr>
          <w:rFonts w:hint="eastAsia"/>
          <w:bdr w:val="single" w:color="auto" w:sz="4" w:space="0"/>
        </w:rPr>
      </w:pPr>
      <w:bookmarkStart w:id="39" w:name="_1585727303"/>
      <w:bookmarkEnd w:id="39"/>
      <w:r>
        <w:rPr>
          <w:rFonts w:hint="eastAsia"/>
          <w:bdr w:val="single" w:color="auto" w:sz="4" w:space="0"/>
        </w:rPr>
        <w:object>
          <v:shape id="_x0000_i1035" o:spt="75" type="#_x0000_t75" style="height:65.25pt;width:72pt;" o:ole="t" filled="f" o:preferrelative="t" stroked="f" coordsize="21600,21600">
            <v:path/>
            <v:fill on="f" alignshape="1" focussize="0,0"/>
            <v:stroke on="f"/>
            <v:imagedata r:id="rId17" o:title=""/>
            <o:lock v:ext="edit" aspectratio="t"/>
            <w10:wrap type="none"/>
            <w10:anchorlock/>
          </v:shape>
          <o:OLEObject Type="Embed" ProgID="Word.Document.8" ShapeID="_x0000_i1035" DrawAspect="Icon" ObjectID="_1468075731" r:id="rId16">
            <o:LockedField>false</o:LockedField>
          </o:OLEObject>
        </w:object>
      </w:r>
      <w:bookmarkStart w:id="40" w:name="_1585727321"/>
      <w:bookmarkEnd w:id="40"/>
      <w:r>
        <w:rPr>
          <w:rFonts w:hint="eastAsia"/>
          <w:bdr w:val="single" w:color="auto" w:sz="4" w:space="0"/>
        </w:rPr>
        <w:object>
          <v:shape id="_x0000_i1036" o:spt="75" type="#_x0000_t75" style="height:65.25pt;width:72pt;" o:ole="t" filled="f" o:preferrelative="t" stroked="f" coordsize="21600,21600">
            <v:path/>
            <v:fill on="f" alignshape="1" focussize="0,0"/>
            <v:stroke on="f"/>
            <v:imagedata r:id="rId19" o:title=""/>
            <o:lock v:ext="edit" aspectratio="t"/>
            <w10:wrap type="none"/>
            <w10:anchorlock/>
          </v:shape>
          <o:OLEObject Type="Embed" ProgID="Word.Document.8" ShapeID="_x0000_i1036" DrawAspect="Icon" ObjectID="_1468075732" r:id="rId18">
            <o:LockedField>false</o:LockedField>
          </o:OLEObject>
        </w:object>
      </w:r>
      <w:bookmarkStart w:id="41" w:name="_1617717073"/>
      <w:bookmarkEnd w:id="41"/>
      <w:bookmarkStart w:id="42" w:name="_1617717051"/>
      <w:bookmarkEnd w:id="42"/>
      <w:r>
        <w:rPr>
          <w:rFonts w:hint="eastAsia"/>
          <w:bdr w:val="single" w:color="auto" w:sz="4" w:space="0"/>
        </w:rPr>
        <w:object>
          <v:shape id="_x0000_i1037" o:spt="75" type="#_x0000_t75" style="height:65.25pt;width:72pt;" o:ole="t" filled="f" o:preferrelative="t" stroked="f" coordsize="21600,21600">
            <v:path/>
            <v:fill on="f" alignshape="1" focussize="0,0"/>
            <v:stroke on="f"/>
            <v:imagedata r:id="rId21" o:title=""/>
            <o:lock v:ext="edit" aspectratio="t"/>
            <w10:wrap type="none"/>
            <w10:anchorlock/>
          </v:shape>
          <o:OLEObject Type="Embed" ProgID="Word.Document.8" ShapeID="_x0000_i1037" DrawAspect="Icon" ObjectID="_1468075733" r:id="rId20">
            <o:LockedField>false</o:LockedField>
          </o:OLEObject>
        </w:object>
      </w:r>
    </w:p>
    <w:p>
      <w:pPr>
        <w:pStyle w:val="14"/>
        <w:ind w:firstLine="0" w:firstLineChars="0"/>
        <w:rPr>
          <w:rFonts w:hint="eastAsia"/>
          <w:bdr w:val="single" w:color="auto" w:sz="4" w:space="0"/>
        </w:rPr>
      </w:pPr>
      <w:r>
        <w:rPr>
          <w:rFonts w:hint="eastAsia"/>
          <w:bdr w:val="single" w:color="auto" w:sz="4" w:space="0"/>
        </w:rPr>
        <w:t>老年版使用成人版健康告知，幼儿版使用少儿版健康告知</w:t>
      </w:r>
    </w:p>
    <w:p>
      <w:pPr>
        <w:pStyle w:val="5"/>
        <w:ind w:left="864"/>
      </w:pPr>
      <w:r>
        <w:rPr>
          <w:rFonts w:hint="eastAsia"/>
        </w:rPr>
        <w:t>承保短信发送</w:t>
      </w:r>
      <w:bookmarkEnd w:id="32"/>
    </w:p>
    <w:p>
      <w:pPr>
        <w:pStyle w:val="13"/>
        <w:numPr>
          <w:ilvl w:val="0"/>
          <w:numId w:val="8"/>
        </w:numPr>
        <w:ind w:firstLineChars="0"/>
      </w:pPr>
      <w:bookmarkStart w:id="43" w:name="_Toc433029145"/>
      <w:r>
        <w:rPr>
          <w:rFonts w:hint="eastAsia"/>
        </w:rPr>
        <w:t>是</w:t>
      </w:r>
      <w:r>
        <w:t>否需要向客户</w:t>
      </w:r>
      <w:r>
        <w:rPr>
          <w:rFonts w:hint="eastAsia"/>
        </w:rPr>
        <w:t>发</w:t>
      </w:r>
      <w:r>
        <w:t>送</w:t>
      </w:r>
      <w:r>
        <w:rPr>
          <w:rFonts w:hint="eastAsia"/>
        </w:rPr>
        <w:t>承保</w:t>
      </w:r>
      <w:r>
        <w:t>短信</w:t>
      </w:r>
      <w:r>
        <w:rPr>
          <w:rFonts w:hint="eastAsia"/>
        </w:rPr>
        <w:t>？______A___A</w:t>
      </w:r>
      <w:r>
        <w:t>.</w:t>
      </w:r>
      <w:r>
        <w:rPr>
          <w:rFonts w:hint="eastAsia"/>
        </w:rPr>
        <w:t xml:space="preserve">需要  </w:t>
      </w:r>
      <w:r>
        <w:t>B.</w:t>
      </w:r>
      <w:r>
        <w:rPr>
          <w:rFonts w:hint="eastAsia"/>
        </w:rPr>
        <w:t>不需要。</w:t>
      </w:r>
    </w:p>
    <w:p>
      <w:pPr>
        <w:pStyle w:val="13"/>
        <w:numPr>
          <w:ilvl w:val="0"/>
          <w:numId w:val="8"/>
        </w:numPr>
        <w:ind w:firstLineChars="0"/>
      </w:pPr>
      <w:r>
        <w:rPr>
          <w:rFonts w:hint="eastAsia"/>
        </w:rPr>
        <w:t>若</w:t>
      </w:r>
      <w:r>
        <w:t>需要，</w:t>
      </w:r>
      <w:r>
        <w:rPr>
          <w:rFonts w:hint="eastAsia"/>
        </w:rPr>
        <w:t>是否</w:t>
      </w:r>
      <w:r>
        <w:t>符合以下短信模板内容？</w:t>
      </w:r>
      <w:r>
        <w:rPr>
          <w:rFonts w:hint="eastAsia"/>
        </w:rPr>
        <w:t>_A____</w:t>
      </w:r>
      <w:r>
        <w:t>A</w:t>
      </w:r>
      <w:r>
        <w:rPr>
          <w:rFonts w:hint="eastAsia"/>
        </w:rPr>
        <w:t>是 B.否，如不符合请告知短信内容。</w:t>
      </w:r>
    </w:p>
    <w:p>
      <w:pPr>
        <w:pStyle w:val="13"/>
        <w:numPr>
          <w:ilvl w:val="0"/>
          <w:numId w:val="17"/>
        </w:numPr>
        <w:ind w:firstLineChars="0"/>
      </w:pPr>
      <w:r>
        <w:t>短信模板内容如下</w:t>
      </w:r>
      <w:r>
        <w:rPr>
          <w:rFonts w:hint="eastAsia"/>
        </w:rPr>
        <w:t>：</w:t>
      </w:r>
    </w:p>
    <w:tbl>
      <w:tblPr>
        <w:tblStyle w:val="11"/>
        <w:tblW w:w="8296"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vAlign w:val="top"/>
          </w:tcPr>
          <w:p>
            <w:pPr>
              <w:pStyle w:val="13"/>
              <w:widowControl/>
              <w:shd w:val="clear" w:color="auto" w:fill="FFFFFF"/>
              <w:ind w:left="18" w:firstLine="0" w:firstLineChars="0"/>
              <w:jc w:val="left"/>
            </w:pPr>
            <w:r>
              <w:rPr>
                <w:rFonts w:hint="eastAsia" w:cs="Tahoma"/>
                <w:color w:val="000000"/>
                <w:kern w:val="0"/>
                <w:szCs w:val="24"/>
              </w:rPr>
              <w:t>尊敬的泰康在线客户</w:t>
            </w:r>
            <w:r>
              <w:rPr>
                <w:rFonts w:cs="Tahoma"/>
                <w:color w:val="000000"/>
                <w:kern w:val="0"/>
                <w:szCs w:val="24"/>
              </w:rPr>
              <w:t>!您购买的xxxxxx（销售方案名称）已成功投保，保单号xxxxxxxxx。您可关注我司官方微信公众号【泰康在线保险】，或登录官网www.tk.cn进行保单查询、批改及报案等操作，如有其它疑问请拨打客服电话95522-3进行咨询。【泰康在线】</w:t>
            </w:r>
          </w:p>
        </w:tc>
      </w:tr>
    </w:tbl>
    <w:p>
      <w:pPr>
        <w:pStyle w:val="13"/>
        <w:numPr>
          <w:ilvl w:val="0"/>
          <w:numId w:val="17"/>
        </w:numPr>
        <w:ind w:firstLineChars="0"/>
      </w:pPr>
      <w:r>
        <w:rPr>
          <w:rFonts w:hint="eastAsia"/>
        </w:rPr>
        <w:t>发送</w:t>
      </w:r>
      <w:r>
        <w:t>对象：</w:t>
      </w:r>
      <w:r>
        <w:rPr>
          <w:rFonts w:hint="eastAsia"/>
        </w:rPr>
        <w:t>___投保人_____（需</w:t>
      </w:r>
      <w:r>
        <w:t>收集</w:t>
      </w:r>
      <w:r>
        <w:rPr>
          <w:rFonts w:hint="eastAsia"/>
        </w:rPr>
        <w:t>手机号码或说明发送给谁，如投保人，被保险人</w:t>
      </w:r>
      <w:r>
        <w:t>）</w:t>
      </w:r>
    </w:p>
    <w:p>
      <w:pPr>
        <w:pStyle w:val="13"/>
        <w:ind w:left="840" w:firstLine="0" w:firstLineChars="0"/>
      </w:pPr>
    </w:p>
    <w:p>
      <w:pPr>
        <w:pStyle w:val="5"/>
        <w:ind w:left="864"/>
      </w:pPr>
      <w:r>
        <w:rPr>
          <w:rFonts w:hint="eastAsia"/>
        </w:rPr>
        <w:t>保单</w:t>
      </w:r>
      <w:r>
        <w:t>发送</w:t>
      </w:r>
      <w:bookmarkEnd w:id="43"/>
    </w:p>
    <w:p>
      <w:pPr>
        <w:pStyle w:val="13"/>
        <w:numPr>
          <w:ilvl w:val="0"/>
          <w:numId w:val="8"/>
        </w:numPr>
        <w:ind w:firstLineChars="0"/>
      </w:pPr>
      <w:r>
        <w:rPr>
          <w:rFonts w:hint="eastAsia"/>
        </w:rPr>
        <w:t>投</w:t>
      </w:r>
      <w:r>
        <w:t>保成功生成保单后，是否需要向</w:t>
      </w:r>
      <w:r>
        <w:rPr>
          <w:rFonts w:hint="eastAsia"/>
        </w:rPr>
        <w:t>客</w:t>
      </w:r>
      <w:r>
        <w:t>户发送电子保单？</w:t>
      </w:r>
      <w:r>
        <w:rPr>
          <w:rFonts w:hint="eastAsia"/>
        </w:rPr>
        <w:t>___A___A</w:t>
      </w:r>
      <w:r>
        <w:t>.</w:t>
      </w:r>
      <w:r>
        <w:rPr>
          <w:rFonts w:hint="eastAsia"/>
        </w:rPr>
        <w:t xml:space="preserve">需要  </w:t>
      </w:r>
      <w:r>
        <w:t>B.</w:t>
      </w:r>
      <w:r>
        <w:rPr>
          <w:rFonts w:hint="eastAsia"/>
        </w:rPr>
        <w:t>不需要（后台自动</w:t>
      </w:r>
      <w:r>
        <w:t>生成）</w:t>
      </w:r>
      <w:r>
        <w:rPr>
          <w:rFonts w:hint="eastAsia"/>
        </w:rPr>
        <w:t xml:space="preserve">  C.不需要（无需自动</w:t>
      </w:r>
      <w:r>
        <w:t>生成）</w:t>
      </w:r>
      <w:r>
        <w:rPr>
          <w:rFonts w:hint="eastAsia"/>
        </w:rPr>
        <w:t>。若</w:t>
      </w:r>
      <w:r>
        <w:t>需要，则</w:t>
      </w:r>
      <w:r>
        <w:rPr>
          <w:rFonts w:hint="eastAsia"/>
        </w:rPr>
        <w:t>说</w:t>
      </w:r>
      <w:r>
        <w:t>明</w:t>
      </w:r>
      <w:r>
        <w:rPr>
          <w:rFonts w:hint="eastAsia"/>
        </w:rPr>
        <w:t>电子</w:t>
      </w:r>
      <w:r>
        <w:t>保单发给投保人还是被保险人，</w:t>
      </w:r>
      <w:r>
        <w:rPr>
          <w:rFonts w:hint="eastAsia"/>
        </w:rPr>
        <w:t>邮件正文内容</w:t>
      </w:r>
      <w:r>
        <w:t>是什么？</w:t>
      </w:r>
      <w:r>
        <w:rPr>
          <w:rFonts w:hint="eastAsia"/>
        </w:rPr>
        <w:t>格式</w:t>
      </w:r>
      <w:r>
        <w:t>是什么</w:t>
      </w:r>
      <w:r>
        <w:rPr>
          <w:rFonts w:hint="eastAsia"/>
        </w:rPr>
        <w:t>？</w:t>
      </w:r>
    </w:p>
    <w:p>
      <w:pPr>
        <w:pStyle w:val="13"/>
        <w:numPr>
          <w:ilvl w:val="0"/>
          <w:numId w:val="17"/>
        </w:numPr>
        <w:ind w:firstLineChars="0"/>
      </w:pPr>
      <w:r>
        <w:rPr>
          <w:rFonts w:hint="eastAsia"/>
        </w:rPr>
        <w:t>邮件正文：</w:t>
      </w:r>
    </w:p>
    <w:tbl>
      <w:tblPr>
        <w:tblStyle w:val="11"/>
        <w:tblW w:w="7802"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2" w:type="dxa"/>
            <w:vAlign w:val="top"/>
          </w:tcPr>
          <w:p>
            <w:r>
              <w:rPr>
                <w:rFonts w:hint="eastAsia"/>
              </w:rPr>
              <w:t>尊敬</w:t>
            </w:r>
            <w:r>
              <w:t>的客户您好！</w:t>
            </w:r>
          </w:p>
          <w:p>
            <w:r>
              <w:rPr>
                <w:rFonts w:hint="eastAsia"/>
              </w:rPr>
              <w:t xml:space="preserve">    您</w:t>
            </w:r>
            <w:r>
              <w:t>于xxxx</w:t>
            </w:r>
            <w:r>
              <w:rPr>
                <w:rFonts w:hint="eastAsia"/>
              </w:rPr>
              <w:t>年</w:t>
            </w:r>
            <w:r>
              <w:t>xx</w:t>
            </w:r>
            <w:r>
              <w:rPr>
                <w:rFonts w:hint="eastAsia"/>
              </w:rPr>
              <w:t>月xx日</w:t>
            </w:r>
            <w:r>
              <w:t>在</w:t>
            </w:r>
            <w:r>
              <w:rPr>
                <w:rFonts w:hint="eastAsia"/>
              </w:rPr>
              <w:t>网上</w:t>
            </w:r>
            <w:r>
              <w:t>投保了我公司的</w:t>
            </w:r>
            <w:r>
              <w:rPr>
                <w:rFonts w:hint="eastAsia"/>
              </w:rPr>
              <w:t>xxxxx</w:t>
            </w:r>
            <w:r>
              <w:t>,</w:t>
            </w:r>
            <w:r>
              <w:rPr>
                <w:rFonts w:hint="eastAsia"/>
              </w:rPr>
              <w:t>现</w:t>
            </w:r>
            <w:r>
              <w:t>将电子保</w:t>
            </w:r>
            <w:r>
              <w:rPr>
                <w:rFonts w:hint="eastAsia"/>
              </w:rPr>
              <w:t>单</w:t>
            </w:r>
            <w:r>
              <w:t>发送给您，请</w:t>
            </w:r>
            <w:r>
              <w:rPr>
                <w:rFonts w:hint="eastAsia"/>
              </w:rPr>
              <w:t>您</w:t>
            </w:r>
            <w:r>
              <w:t>妥善保存本邮件</w:t>
            </w:r>
            <w:r>
              <w:rPr>
                <w:rFonts w:hint="eastAsia"/>
              </w:rPr>
              <w:t>附件</w:t>
            </w:r>
            <w:r>
              <w:t>中的电子保单。如</w:t>
            </w:r>
            <w:r>
              <w:rPr>
                <w:rFonts w:hint="eastAsia"/>
              </w:rPr>
              <w:t>有</w:t>
            </w:r>
            <w:r>
              <w:t>疑问，请随时拨打我公司客户服务电话</w:t>
            </w:r>
            <w:r>
              <w:rPr>
                <w:rFonts w:hint="eastAsia"/>
              </w:rPr>
              <w:t xml:space="preserve"> 95522-3。</w:t>
            </w:r>
          </w:p>
          <w:p>
            <w:r>
              <w:rPr>
                <w:rFonts w:hint="eastAsia"/>
              </w:rPr>
              <w:t>祝</w:t>
            </w:r>
            <w:r>
              <w:t>您身体健康，家庭幸福！</w:t>
            </w:r>
          </w:p>
          <w:p>
            <w:r>
              <w:rPr>
                <w:rFonts w:hint="eastAsia"/>
              </w:rPr>
              <w:t>泰康</w:t>
            </w:r>
            <w:r>
              <w:t>在线财产保险有限公司</w:t>
            </w:r>
          </w:p>
          <w:p>
            <w:r>
              <w:t xml:space="preserve">                      xxxx</w:t>
            </w:r>
            <w:r>
              <w:rPr>
                <w:rFonts w:hint="eastAsia"/>
              </w:rPr>
              <w:t>年</w:t>
            </w:r>
            <w:r>
              <w:t>xx</w:t>
            </w:r>
            <w:r>
              <w:rPr>
                <w:rFonts w:hint="eastAsia"/>
              </w:rPr>
              <w:t>月xx日</w:t>
            </w:r>
          </w:p>
          <w:p/>
          <w:p>
            <w:pPr>
              <w:ind w:firstLine="420" w:firstLineChars="200"/>
            </w:pPr>
            <w:r>
              <w:rPr>
                <w:rFonts w:hint="eastAsia"/>
              </w:rPr>
              <w:t>【公司偿付能力告知】我公司</w:t>
            </w:r>
            <w:r>
              <w:t>2016年第4季度核心偿付能力充足率为1010.54%， 综合偿付能力充足率为1010.54%，偿付能力充足率已达到监管要求。</w:t>
            </w:r>
          </w:p>
          <w:p>
            <w:pPr>
              <w:ind w:firstLine="420" w:firstLineChars="200"/>
            </w:pPr>
            <w:r>
              <w:rPr>
                <w:rFonts w:hint="eastAsia"/>
              </w:rPr>
              <w:t>【公司风险综合评价】中国保监会发布了</w:t>
            </w:r>
            <w:r>
              <w:t>2016年第</w:t>
            </w:r>
            <w:r>
              <w:rPr>
                <w:rFonts w:hint="eastAsia"/>
              </w:rPr>
              <w:t>4</w:t>
            </w:r>
            <w:r>
              <w:t>季度风险综合评级评价结果，我公司被评定为B类。</w:t>
            </w:r>
          </w:p>
        </w:tc>
      </w:tr>
    </w:tbl>
    <w:p>
      <w:pPr>
        <w:pStyle w:val="13"/>
        <w:ind w:left="840" w:firstLine="0" w:firstLineChars="0"/>
      </w:pPr>
      <w:r>
        <w:rPr>
          <w:rFonts w:hint="eastAsia"/>
        </w:rPr>
        <w:t>邮件</w:t>
      </w:r>
      <w:r>
        <w:t>正文中</w:t>
      </w:r>
      <w:r>
        <w:rPr>
          <w:rFonts w:hint="eastAsia"/>
        </w:rPr>
        <w:t>第一</w:t>
      </w:r>
      <w:r>
        <w:t>行的“xxxx</w:t>
      </w:r>
      <w:r>
        <w:rPr>
          <w:rFonts w:hint="eastAsia"/>
        </w:rPr>
        <w:t>年</w:t>
      </w:r>
      <w:r>
        <w:t>xx</w:t>
      </w:r>
      <w:r>
        <w:rPr>
          <w:rFonts w:hint="eastAsia"/>
        </w:rPr>
        <w:t>月xx日</w:t>
      </w:r>
      <w:r>
        <w:t>”</w:t>
      </w:r>
      <w:r>
        <w:rPr>
          <w:rFonts w:hint="eastAsia"/>
        </w:rPr>
        <w:t>需</w:t>
      </w:r>
      <w:r>
        <w:t>替换成具体的投保时间</w:t>
      </w:r>
      <w:r>
        <w:rPr>
          <w:rFonts w:hint="eastAsia"/>
        </w:rPr>
        <w:t>，</w:t>
      </w:r>
      <w:r>
        <w:t>第一行“我公司的</w:t>
      </w:r>
      <w:r>
        <w:rPr>
          <w:rFonts w:hint="eastAsia"/>
        </w:rPr>
        <w:t>xxxxx</w:t>
      </w:r>
      <w:r>
        <w:t>”</w:t>
      </w:r>
      <w:r>
        <w:rPr>
          <w:rFonts w:hint="eastAsia"/>
        </w:rPr>
        <w:t>需</w:t>
      </w:r>
      <w:r>
        <w:t>替换成</w:t>
      </w:r>
      <w:r>
        <w:rPr>
          <w:rFonts w:hint="eastAsia"/>
        </w:rPr>
        <w:t>具体</w:t>
      </w:r>
      <w:r>
        <w:t>的投保产品名称，最后一行的</w:t>
      </w:r>
      <w:r>
        <w:rPr>
          <w:rFonts w:hint="eastAsia"/>
        </w:rPr>
        <w:t>“</w:t>
      </w:r>
      <w:r>
        <w:t>xxxx</w:t>
      </w:r>
      <w:r>
        <w:rPr>
          <w:rFonts w:hint="eastAsia"/>
        </w:rPr>
        <w:t>年</w:t>
      </w:r>
      <w:r>
        <w:t>xx</w:t>
      </w:r>
      <w:r>
        <w:rPr>
          <w:rFonts w:hint="eastAsia"/>
        </w:rPr>
        <w:t>月xx日”需</w:t>
      </w:r>
      <w:r>
        <w:t>替换成具体的</w:t>
      </w:r>
      <w:r>
        <w:rPr>
          <w:rFonts w:hint="eastAsia"/>
        </w:rPr>
        <w:t>发</w:t>
      </w:r>
      <w:r>
        <w:t>送电子邮件时间。</w:t>
      </w:r>
      <w:r>
        <w:rPr>
          <w:rFonts w:hint="eastAsia"/>
        </w:rPr>
        <w:t>【公司偿付能力告知】内容为变动值，应支持配置，每季度配置一次新值，配置后，正文中显示配置后的最新结果。</w:t>
      </w:r>
    </w:p>
    <w:p>
      <w:pPr>
        <w:pStyle w:val="13"/>
        <w:numPr>
          <w:ilvl w:val="0"/>
          <w:numId w:val="17"/>
        </w:numPr>
        <w:ind w:firstLineChars="0"/>
      </w:pPr>
      <w:r>
        <w:rPr>
          <w:rFonts w:hint="eastAsia"/>
        </w:rPr>
        <w:t>发送</w:t>
      </w:r>
      <w:r>
        <w:t>对象：</w:t>
      </w:r>
      <w:r>
        <w:rPr>
          <w:rFonts w:hint="eastAsia"/>
        </w:rPr>
        <w:t>__ ____投保人____（需</w:t>
      </w:r>
      <w:r>
        <w:t>收集邮箱）</w:t>
      </w:r>
    </w:p>
    <w:p>
      <w:pPr>
        <w:pStyle w:val="13"/>
        <w:numPr>
          <w:ilvl w:val="0"/>
          <w:numId w:val="17"/>
        </w:numPr>
        <w:spacing w:after="240"/>
        <w:ind w:firstLineChars="0"/>
      </w:pPr>
      <w:r>
        <w:rPr>
          <w:rFonts w:hint="eastAsia"/>
        </w:rPr>
        <w:t>附件</w:t>
      </w:r>
      <w:r>
        <w:t>格式：</w:t>
      </w:r>
      <w:r>
        <w:rPr>
          <w:rFonts w:hint="eastAsia"/>
        </w:rPr>
        <w:t>_A_______A</w:t>
      </w:r>
      <w:r>
        <w:t>.</w:t>
      </w:r>
      <w:r>
        <w:rPr>
          <w:rFonts w:hint="eastAsia"/>
        </w:rPr>
        <w:t>PDF（默认</w:t>
      </w:r>
      <w:r>
        <w:t>）B.</w:t>
      </w:r>
      <w:r>
        <w:rPr>
          <w:rFonts w:hint="eastAsia"/>
        </w:rPr>
        <w:t>HTML</w:t>
      </w:r>
    </w:p>
    <w:p>
      <w:pPr>
        <w:pStyle w:val="13"/>
        <w:numPr>
          <w:ilvl w:val="0"/>
          <w:numId w:val="8"/>
        </w:numPr>
        <w:ind w:firstLineChars="0"/>
      </w:pPr>
      <w:r>
        <w:rPr>
          <w:rFonts w:hint="eastAsia"/>
        </w:rPr>
        <w:t>本</w:t>
      </w:r>
      <w:r>
        <w:t>产品是否需要纸质保单</w:t>
      </w:r>
      <w:r>
        <w:rPr>
          <w:rFonts w:hint="eastAsia"/>
        </w:rPr>
        <w:t>？_____B______A</w:t>
      </w:r>
      <w:r>
        <w:t>.</w:t>
      </w:r>
      <w:r>
        <w:rPr>
          <w:rFonts w:hint="eastAsia"/>
        </w:rPr>
        <w:t xml:space="preserve">需要  </w:t>
      </w:r>
      <w:r>
        <w:t>B.</w:t>
      </w:r>
      <w:r>
        <w:rPr>
          <w:rFonts w:hint="eastAsia"/>
        </w:rPr>
        <w:t>不需要。</w:t>
      </w:r>
    </w:p>
    <w:p>
      <w:pPr>
        <w:pStyle w:val="3"/>
        <w:ind w:left="1560" w:hanging="1276"/>
      </w:pPr>
      <w:bookmarkStart w:id="44" w:name="_Toc477766691"/>
      <w:r>
        <w:rPr>
          <w:rFonts w:hint="eastAsia"/>
        </w:rPr>
        <w:t>核保、</w:t>
      </w:r>
      <w:r>
        <w:t>核批</w:t>
      </w:r>
      <w:bookmarkEnd w:id="44"/>
    </w:p>
    <w:p>
      <w:pPr>
        <w:pStyle w:val="5"/>
        <w:ind w:left="864"/>
        <w:rPr>
          <w:b w:val="0"/>
        </w:rPr>
      </w:pPr>
      <w:r>
        <w:rPr>
          <w:rFonts w:hint="eastAsia"/>
          <w:b w:val="0"/>
        </w:rPr>
        <w:t xml:space="preserve"> 自动核保</w:t>
      </w:r>
    </w:p>
    <w:p>
      <w:pPr>
        <w:pStyle w:val="13"/>
        <w:numPr>
          <w:ilvl w:val="0"/>
          <w:numId w:val="8"/>
        </w:numPr>
        <w:ind w:firstLineChars="0"/>
      </w:pPr>
      <w:r>
        <w:t>该产品</w:t>
      </w:r>
      <w:r>
        <w:rPr>
          <w:rFonts w:hint="eastAsia"/>
        </w:rPr>
        <w:t>计划</w:t>
      </w:r>
      <w:r>
        <w:t>是否可以自动核</w:t>
      </w:r>
      <w:r>
        <w:rPr>
          <w:rFonts w:hint="eastAsia"/>
        </w:rPr>
        <w:t>保</w:t>
      </w:r>
      <w:r>
        <w:t>通过？</w:t>
      </w:r>
      <w:r>
        <w:rPr>
          <w:rFonts w:hint="eastAsia"/>
        </w:rPr>
        <w:t>____A______A</w:t>
      </w:r>
      <w:r>
        <w:t>.</w:t>
      </w:r>
      <w:r>
        <w:rPr>
          <w:rFonts w:hint="eastAsia"/>
        </w:rPr>
        <w:t xml:space="preserve">可以  </w:t>
      </w:r>
      <w:r>
        <w:t>B.</w:t>
      </w:r>
      <w:r>
        <w:rPr>
          <w:rFonts w:hint="eastAsia"/>
        </w:rPr>
        <w:t>不可</w:t>
      </w:r>
      <w:r>
        <w:t>以</w:t>
      </w:r>
      <w:r>
        <w:rPr>
          <w:rFonts w:hint="eastAsia"/>
        </w:rPr>
        <w:t>。</w:t>
      </w:r>
      <w:r>
        <w:t>若可以，自动核</w:t>
      </w:r>
      <w:r>
        <w:rPr>
          <w:rFonts w:hint="eastAsia"/>
        </w:rPr>
        <w:t>保</w:t>
      </w:r>
      <w:r>
        <w:t>通过的规则是什么？</w:t>
      </w:r>
    </w:p>
    <w:p>
      <w:pPr>
        <w:pStyle w:val="16"/>
        <w:numPr>
          <w:ilvl w:val="3"/>
          <w:numId w:val="8"/>
        </w:numPr>
        <w:ind w:firstLineChars="0"/>
        <w:rPr>
          <w:rFonts w:hint="eastAsia"/>
        </w:rPr>
      </w:pPr>
      <w:r>
        <w:rPr>
          <w:rFonts w:hint="eastAsia"/>
        </w:rPr>
        <w:t>调用核心黑名单功能（老赖-&gt;健康险产品黑名单规则-&gt;住院保产品黑名单规则）;</w:t>
      </w:r>
    </w:p>
    <w:p>
      <w:pPr>
        <w:pStyle w:val="16"/>
        <w:numPr>
          <w:ilvl w:val="3"/>
          <w:numId w:val="8"/>
        </w:numPr>
        <w:ind w:firstLineChars="0"/>
        <w:rPr>
          <w:rFonts w:hint="eastAsia"/>
        </w:rPr>
      </w:pPr>
      <w:r>
        <w:rPr>
          <w:rFonts w:hint="eastAsia"/>
        </w:rPr>
        <w:t>加入累计风险保额校验（“意外身故/伤残”大类下的“</w:t>
      </w:r>
      <w:r>
        <w:rPr>
          <w:rFonts w:hint="eastAsia" w:cs="宋体"/>
          <w:color w:val="000000"/>
          <w:kern w:val="0"/>
          <w:sz w:val="22"/>
          <w:szCs w:val="22"/>
        </w:rPr>
        <w:t>人身意外身故/伤残</w:t>
      </w:r>
      <w:r>
        <w:rPr>
          <w:rFonts w:hint="eastAsia"/>
        </w:rPr>
        <w:t>”小类），累计最高不超过50万；</w:t>
      </w:r>
    </w:p>
    <w:p>
      <w:pPr>
        <w:pStyle w:val="16"/>
        <w:numPr>
          <w:ilvl w:val="3"/>
          <w:numId w:val="8"/>
        </w:numPr>
        <w:ind w:firstLineChars="0"/>
      </w:pPr>
      <w:r>
        <w:rPr>
          <w:rFonts w:hint="eastAsia"/>
        </w:rPr>
        <w:t>同一</w:t>
      </w:r>
      <w:r>
        <w:t>被保险人同一保险期间内本</w:t>
      </w:r>
      <w:r>
        <w:rPr>
          <w:rFonts w:hint="eastAsia"/>
        </w:rPr>
        <w:t>产品只能</w:t>
      </w:r>
      <w:r>
        <w:t>投保一份</w:t>
      </w:r>
      <w:r>
        <w:rPr>
          <w:rFonts w:hint="eastAsia"/>
        </w:rPr>
        <w:t>，</w:t>
      </w:r>
      <w:r>
        <w:t>即根据证件号码识别，同一</w:t>
      </w:r>
      <w:r>
        <w:rPr>
          <w:rFonts w:hint="eastAsia"/>
        </w:rPr>
        <w:t>被保险</w:t>
      </w:r>
      <w:r>
        <w:t>人在同一保险期间内只允许有一份有效保单（</w:t>
      </w:r>
      <w:r>
        <w:rPr>
          <w:rFonts w:hint="eastAsia"/>
        </w:rPr>
        <w:t>有效</w:t>
      </w:r>
      <w:r>
        <w:t>：未退保、未注销、未满期</w:t>
      </w:r>
      <w:r>
        <w:rPr>
          <w:rFonts w:hint="eastAsia"/>
        </w:rPr>
        <w:t>）；</w:t>
      </w:r>
      <w:r>
        <w:rPr>
          <w:highlight w:val="yellow"/>
        </w:rPr>
        <w:t>需要按生效日校验</w:t>
      </w:r>
    </w:p>
    <w:p>
      <w:pPr>
        <w:pStyle w:val="16"/>
        <w:numPr>
          <w:ilvl w:val="3"/>
          <w:numId w:val="8"/>
        </w:numPr>
        <w:ind w:firstLineChars="0"/>
      </w:pPr>
      <w:r>
        <w:rPr>
          <w:rFonts w:hint="eastAsia"/>
        </w:rPr>
        <w:t>校验方案</w:t>
      </w:r>
      <w:r>
        <w:t>代码及</w:t>
      </w:r>
      <w:r>
        <w:rPr>
          <w:rFonts w:hint="eastAsia"/>
        </w:rPr>
        <w:t>被保险人投保年龄。</w:t>
      </w:r>
    </w:p>
    <w:p>
      <w:pPr>
        <w:pStyle w:val="16"/>
        <w:ind w:left="1680" w:firstLine="0" w:firstLineChars="0"/>
      </w:pPr>
      <w:r>
        <w:t>住院保-</w:t>
      </w:r>
      <w:r>
        <w:rPr>
          <w:rFonts w:hint="eastAsia"/>
        </w:rPr>
        <w:t>幼儿</w:t>
      </w:r>
      <w:r>
        <w:t>版：0（出生满30天）-</w:t>
      </w:r>
      <w:r>
        <w:rPr>
          <w:rFonts w:hint="eastAsia"/>
        </w:rPr>
        <w:t>3</w:t>
      </w:r>
      <w:r>
        <w:t>周岁（含）</w:t>
      </w:r>
    </w:p>
    <w:p>
      <w:pPr>
        <w:pStyle w:val="16"/>
        <w:ind w:left="1680" w:firstLine="0" w:firstLineChars="0"/>
        <w:rPr>
          <w:rFonts w:hint="eastAsia"/>
        </w:rPr>
      </w:pPr>
      <w:r>
        <w:rPr>
          <w:rFonts w:hint="eastAsia"/>
        </w:rPr>
        <w:t>住院保--少儿版：4周岁-17周岁（含）</w:t>
      </w:r>
    </w:p>
    <w:p>
      <w:pPr>
        <w:pStyle w:val="16"/>
        <w:ind w:left="1680" w:firstLine="0" w:firstLineChars="0"/>
      </w:pPr>
      <w:r>
        <w:t>住院保-</w:t>
      </w:r>
      <w:r>
        <w:rPr>
          <w:rFonts w:hint="eastAsia"/>
        </w:rPr>
        <w:t>成</w:t>
      </w:r>
      <w:r>
        <w:t>人版</w:t>
      </w:r>
      <w:r>
        <w:rPr>
          <w:rFonts w:hint="eastAsia"/>
          <w:szCs w:val="20"/>
        </w:rPr>
        <w:t>：</w:t>
      </w:r>
      <w:r>
        <w:rPr>
          <w:rFonts w:hint="eastAsia"/>
        </w:rPr>
        <w:t>18</w:t>
      </w:r>
      <w:r>
        <w:t>周岁</w:t>
      </w:r>
      <w:r>
        <w:rPr>
          <w:rFonts w:hint="eastAsia"/>
        </w:rPr>
        <w:t>-49</w:t>
      </w:r>
      <w:r>
        <w:t>周岁（含）</w:t>
      </w:r>
    </w:p>
    <w:p>
      <w:pPr>
        <w:pStyle w:val="16"/>
        <w:ind w:left="1680" w:firstLine="0" w:firstLineChars="0"/>
      </w:pPr>
      <w:r>
        <w:t>住院保-老人版：50</w:t>
      </w:r>
      <w:r>
        <w:rPr>
          <w:rFonts w:hint="eastAsia"/>
        </w:rPr>
        <w:t>周岁</w:t>
      </w:r>
      <w:r>
        <w:t>-65周岁（含）</w:t>
      </w:r>
    </w:p>
    <w:p>
      <w:pPr>
        <w:pStyle w:val="16"/>
        <w:numPr>
          <w:ilvl w:val="3"/>
          <w:numId w:val="8"/>
        </w:numPr>
        <w:ind w:firstLineChars="0"/>
      </w:pPr>
      <w:r>
        <w:rPr>
          <w:rFonts w:hint="eastAsia"/>
        </w:rPr>
        <w:t>校验投、被保人关系：</w:t>
      </w:r>
    </w:p>
    <w:p>
      <w:pPr>
        <w:pStyle w:val="16"/>
        <w:numPr>
          <w:ilvl w:val="4"/>
          <w:numId w:val="8"/>
        </w:numPr>
        <w:ind w:firstLineChars="0"/>
      </w:pPr>
      <w:r>
        <w:t>住院保-</w:t>
      </w:r>
      <w:r>
        <w:rPr>
          <w:rFonts w:hint="eastAsia"/>
        </w:rPr>
        <w:t>成</w:t>
      </w:r>
      <w:r>
        <w:t>人版</w:t>
      </w:r>
      <w:r>
        <w:rPr>
          <w:rFonts w:hint="eastAsia"/>
          <w:szCs w:val="20"/>
        </w:rPr>
        <w:t>：被保险人（18周岁-49周岁）投保，投保人为其本人、配偶、父母、子女。</w:t>
      </w:r>
      <w:r>
        <w:t>被保险人与投保人的关系为</w:t>
      </w:r>
      <w:r>
        <w:rPr>
          <w:rFonts w:hint="eastAsia"/>
        </w:rPr>
        <w:t>“</w:t>
      </w:r>
      <w:r>
        <w:rPr>
          <w:rFonts w:hint="eastAsia"/>
          <w:szCs w:val="16"/>
        </w:rPr>
        <w:t>01</w:t>
      </w:r>
      <w:r>
        <w:rPr>
          <w:szCs w:val="16"/>
        </w:rPr>
        <w:t>-本人、</w:t>
      </w:r>
      <w:r>
        <w:rPr>
          <w:rStyle w:val="10"/>
          <w:rFonts w:hint="eastAsia"/>
        </w:rPr>
        <w:t>02-配偶、03-父母、</w:t>
      </w:r>
      <w:r>
        <w:rPr>
          <w:rFonts w:hint="eastAsia"/>
          <w:szCs w:val="16"/>
        </w:rPr>
        <w:t>40</w:t>
      </w:r>
      <w:r>
        <w:rPr>
          <w:szCs w:val="16"/>
        </w:rPr>
        <w:t>-</w:t>
      </w:r>
      <w:r>
        <w:rPr>
          <w:rFonts w:hint="eastAsia"/>
          <w:szCs w:val="16"/>
        </w:rPr>
        <w:t>子</w:t>
      </w:r>
      <w:r>
        <w:rPr>
          <w:szCs w:val="16"/>
        </w:rPr>
        <w:t>女</w:t>
      </w:r>
      <w:r>
        <w:rPr>
          <w:rFonts w:hint="eastAsia"/>
        </w:rPr>
        <w:t>”</w:t>
      </w:r>
      <w:r>
        <w:rPr>
          <w:rFonts w:hint="eastAsia"/>
          <w:szCs w:val="16"/>
        </w:rPr>
        <w:t>。</w:t>
      </w:r>
    </w:p>
    <w:p>
      <w:pPr>
        <w:pStyle w:val="16"/>
        <w:numPr>
          <w:ilvl w:val="4"/>
          <w:numId w:val="8"/>
        </w:numPr>
        <w:ind w:firstLineChars="0"/>
      </w:pPr>
      <w:r>
        <w:t>住院保-老人版：</w:t>
      </w:r>
      <w:r>
        <w:rPr>
          <w:rFonts w:hint="eastAsia"/>
        </w:rPr>
        <w:t>被保险</w:t>
      </w:r>
      <w:r>
        <w:t>人（50</w:t>
      </w:r>
      <w:r>
        <w:rPr>
          <w:rFonts w:hint="eastAsia"/>
        </w:rPr>
        <w:t>周岁</w:t>
      </w:r>
      <w:r>
        <w:t>-65周岁）投保，投保人为其本人</w:t>
      </w:r>
      <w:r>
        <w:rPr>
          <w:rFonts w:hint="eastAsia"/>
        </w:rPr>
        <w:t>、配偶、子女</w:t>
      </w:r>
      <w:r>
        <w:t>。被保险人与投保人的关系为“01-本人</w:t>
      </w:r>
      <w:r>
        <w:rPr>
          <w:szCs w:val="16"/>
        </w:rPr>
        <w:t>、</w:t>
      </w:r>
      <w:r>
        <w:rPr>
          <w:rStyle w:val="10"/>
          <w:rFonts w:hint="eastAsia"/>
        </w:rPr>
        <w:t>02-配偶、</w:t>
      </w:r>
      <w:r>
        <w:rPr>
          <w:rFonts w:hint="eastAsia"/>
          <w:szCs w:val="16"/>
        </w:rPr>
        <w:t>03</w:t>
      </w:r>
      <w:r>
        <w:rPr>
          <w:szCs w:val="16"/>
        </w:rPr>
        <w:t>-</w:t>
      </w:r>
      <w:r>
        <w:rPr>
          <w:rFonts w:hint="eastAsia"/>
          <w:szCs w:val="16"/>
        </w:rPr>
        <w:t>父母”</w:t>
      </w:r>
      <w:r>
        <w:t>。</w:t>
      </w:r>
    </w:p>
    <w:p>
      <w:pPr>
        <w:pStyle w:val="16"/>
        <w:numPr>
          <w:ilvl w:val="4"/>
          <w:numId w:val="8"/>
        </w:numPr>
        <w:ind w:firstLineChars="0"/>
      </w:pPr>
      <w:r>
        <w:t>住院保-少儿版</w:t>
      </w:r>
      <w:r>
        <w:rPr>
          <w:rFonts w:hint="eastAsia"/>
        </w:rPr>
        <w:t>和住院保-幼儿版</w:t>
      </w:r>
      <w:r>
        <w:t>：未成年人（0（出生满30天）-17周岁（含））投保，投保人必须为其父母，即需分别录入投保人、被保险人，投保人年龄大于等于18岁，被保险人为未成年人，被保险人年龄小于18岁，且被保险人与投保人的关系为“40-儿女”。</w:t>
      </w:r>
    </w:p>
    <w:p>
      <w:pPr>
        <w:pStyle w:val="16"/>
        <w:numPr>
          <w:ilvl w:val="3"/>
          <w:numId w:val="8"/>
        </w:numPr>
        <w:ind w:firstLineChars="0"/>
      </w:pPr>
      <w:r>
        <w:rPr>
          <w:rFonts w:hint="eastAsia"/>
        </w:rPr>
        <w:t>不允许</w:t>
      </w:r>
      <w:r>
        <w:t>倒签，即投保时间</w:t>
      </w:r>
      <w:r>
        <w:rPr>
          <w:rFonts w:hint="eastAsia"/>
        </w:rPr>
        <w:t>必须</w:t>
      </w:r>
      <w:r>
        <w:t>早于起保时间</w:t>
      </w:r>
      <w:r>
        <w:rPr>
          <w:rFonts w:hint="eastAsia"/>
        </w:rPr>
        <w:t>；</w:t>
      </w:r>
    </w:p>
    <w:p>
      <w:pPr>
        <w:pStyle w:val="16"/>
        <w:numPr>
          <w:ilvl w:val="3"/>
          <w:numId w:val="8"/>
        </w:numPr>
        <w:ind w:firstLineChars="0"/>
      </w:pPr>
      <w:r>
        <w:rPr>
          <w:rFonts w:hint="eastAsia"/>
        </w:rPr>
        <w:t>0（出生满30天）-2周岁，允许证件类型为“其他”，其他年龄段不允许；</w:t>
      </w:r>
    </w:p>
    <w:p>
      <w:pPr>
        <w:pStyle w:val="16"/>
        <w:numPr>
          <w:ilvl w:val="3"/>
          <w:numId w:val="8"/>
        </w:numPr>
        <w:ind w:firstLineChars="0"/>
        <w:rPr>
          <w:rFonts w:hint="eastAsia"/>
        </w:rPr>
      </w:pPr>
      <w:r>
        <w:rPr>
          <w:rFonts w:hint="eastAsia"/>
        </w:rPr>
        <w:t>销售方案一校验1-4类职业（泰康校验）；</w:t>
      </w:r>
    </w:p>
    <w:p>
      <w:pPr>
        <w:pStyle w:val="16"/>
        <w:numPr>
          <w:ilvl w:val="3"/>
          <w:numId w:val="8"/>
        </w:numPr>
        <w:ind w:firstLineChars="0"/>
      </w:pPr>
      <w:r>
        <w:rPr>
          <w:rFonts w:hint="eastAsia"/>
        </w:rPr>
        <w:t>销售方案二 中定额方案一校验1-4类职业，定额方案二校验1-3类职业（泰康校验），需对上一张保单在上一年度理赔情况进行校验如果发生过理赔或者存在理赔申请则拒保。</w:t>
      </w:r>
    </w:p>
    <w:p>
      <w:pPr>
        <w:pStyle w:val="16"/>
        <w:numPr>
          <w:ilvl w:val="3"/>
          <w:numId w:val="8"/>
        </w:numPr>
        <w:ind w:firstLineChars="0"/>
        <w:rPr>
          <w:rFonts w:hint="eastAsia"/>
        </w:rPr>
      </w:pPr>
      <w:r>
        <w:rPr>
          <w:rFonts w:hint="eastAsia"/>
        </w:rPr>
        <w:t>不符合健康告知拒保续保映射规则：</w:t>
      </w:r>
    </w:p>
    <w:p>
      <w:pPr>
        <w:pStyle w:val="16"/>
        <w:numPr>
          <w:ilvl w:val="3"/>
          <w:numId w:val="8"/>
        </w:numPr>
        <w:ind w:firstLineChars="0"/>
        <w:rPr>
          <w:rFonts w:hint="eastAsia"/>
        </w:rPr>
      </w:pPr>
      <w:r>
        <w:rPr>
          <w:rFonts w:hint="eastAsia"/>
        </w:rPr>
        <w:t>续保映射规则：</w:t>
      </w:r>
    </w:p>
    <w:p>
      <w:pPr>
        <w:pStyle w:val="16"/>
        <w:ind w:left="1260" w:firstLine="0" w:firstLineChars="0"/>
        <w:rPr>
          <w:rFonts w:hint="eastAsia"/>
          <w:b/>
        </w:rPr>
      </w:pPr>
      <w:r>
        <w:rPr>
          <w:rFonts w:hint="eastAsia"/>
          <w:b/>
          <w:highlight w:val="yellow"/>
        </w:rPr>
        <w:t>2019版住院保首年续保和原2018版住院保续保规则：</w:t>
      </w:r>
    </w:p>
    <w:p>
      <w:pPr>
        <w:pStyle w:val="16"/>
        <w:ind w:left="1260" w:firstLine="0" w:firstLineChars="0"/>
        <w:rPr>
          <w:rFonts w:hint="eastAsia"/>
          <w:b/>
        </w:rPr>
      </w:pPr>
      <w:r>
        <w:rPr>
          <w:rFonts w:hint="eastAsia"/>
          <w:b/>
        </w:rPr>
        <w:t>定额方案一续保规则：</w:t>
      </w:r>
    </w:p>
    <w:p>
      <w:pPr>
        <w:widowControl/>
        <w:numPr>
          <w:ilvl w:val="0"/>
          <w:numId w:val="18"/>
        </w:numPr>
        <w:rPr>
          <w:rFonts w:hint="eastAsia" w:ascii="微软雅黑" w:hAnsi="微软雅黑" w:eastAsia="微软雅黑" w:cs="微软雅黑"/>
          <w:color w:val="000000"/>
          <w:kern w:val="0"/>
          <w:lang w:bidi="ar"/>
        </w:rPr>
      </w:pPr>
      <w:r>
        <w:rPr>
          <w:rFonts w:hint="eastAsia" w:ascii="微软雅黑" w:hAnsi="微软雅黑" w:eastAsia="微软雅黑" w:cs="微软雅黑"/>
          <w:color w:val="000000"/>
          <w:kern w:val="0"/>
          <w:lang w:bidi="ar"/>
        </w:rPr>
        <w:t>销售方案一可以新保和续保。</w:t>
      </w:r>
    </w:p>
    <w:p>
      <w:pPr>
        <w:widowControl/>
        <w:numPr>
          <w:ilvl w:val="0"/>
          <w:numId w:val="18"/>
        </w:numPr>
        <w:rPr>
          <w:rFonts w:hint="eastAsia" w:ascii="微软雅黑" w:hAnsi="微软雅黑" w:eastAsia="微软雅黑" w:cs="微软雅黑"/>
          <w:color w:val="000000"/>
          <w:kern w:val="0"/>
          <w:lang w:bidi="ar"/>
        </w:rPr>
      </w:pPr>
      <w:r>
        <w:rPr>
          <w:rFonts w:hint="eastAsia" w:ascii="微软雅黑" w:hAnsi="微软雅黑" w:eastAsia="微软雅黑" w:cs="微软雅黑"/>
          <w:color w:val="000000"/>
          <w:kern w:val="0"/>
          <w:shd w:val="clear" w:color="auto" w:fill="FFFFFF"/>
          <w:lang w:bidi="ar"/>
        </w:rPr>
        <w:t>销售方案一续保</w:t>
      </w:r>
      <w:r>
        <w:rPr>
          <w:rFonts w:hint="eastAsia" w:ascii="微软雅黑" w:hAnsi="微软雅黑" w:eastAsia="微软雅黑" w:cs="微软雅黑"/>
          <w:b/>
          <w:color w:val="000000"/>
          <w:kern w:val="0"/>
          <w:shd w:val="clear" w:color="auto" w:fill="FFFFFF"/>
          <w:lang w:bidi="ar"/>
        </w:rPr>
        <w:t>只可续保至原方案或保额低于原方案的方案</w:t>
      </w:r>
      <w:r>
        <w:rPr>
          <w:rFonts w:hint="eastAsia" w:ascii="微软雅黑" w:hAnsi="微软雅黑" w:eastAsia="微软雅黑" w:cs="微软雅黑"/>
          <w:color w:val="000000"/>
          <w:kern w:val="0"/>
          <w:lang w:bidi="ar"/>
        </w:rPr>
        <w:t>。</w:t>
      </w:r>
    </w:p>
    <w:p>
      <w:pPr>
        <w:pStyle w:val="6"/>
        <w:rPr>
          <w:rFonts w:hint="eastAsia" w:eastAsia="微软雅黑"/>
          <w:lang w:eastAsia="zh-CN"/>
        </w:rPr>
      </w:pPr>
      <w:r>
        <w:rPr>
          <w:rFonts w:hint="eastAsia" w:ascii="微软雅黑" w:hAnsi="微软雅黑" w:eastAsia="微软雅黑" w:cs="微软雅黑"/>
          <w:color w:val="000000"/>
          <w:kern w:val="0"/>
          <w:lang w:bidi="ar"/>
        </w:rPr>
        <w:t>原2018版产品</w:t>
      </w:r>
      <w:r>
        <w:rPr>
          <w:rFonts w:hint="eastAsia" w:eastAsia="微软雅黑"/>
          <w:lang w:eastAsia="zh-CN"/>
        </w:rPr>
        <w:t>S20180187</w:t>
      </w:r>
    </w:p>
    <w:p>
      <w:pPr>
        <w:pStyle w:val="6"/>
        <w:rPr>
          <w:rFonts w:hint="eastAsia" w:eastAsia="宋体"/>
          <w:lang w:eastAsia="zh-CN"/>
        </w:rPr>
      </w:pPr>
      <w:r>
        <w:rPr>
          <w:rFonts w:hint="eastAsia" w:hAnsi="宋体"/>
          <w:kern w:val="2"/>
          <w:szCs w:val="20"/>
          <w:lang w:eastAsia="zh-CN"/>
        </w:rPr>
        <w:t>统一</w:t>
      </w:r>
      <w:r>
        <w:rPr>
          <w:rFonts w:hint="eastAsia" w:hAnsi="宋体"/>
          <w:kern w:val="2"/>
          <w:szCs w:val="20"/>
        </w:rPr>
        <w:t>泰康住院保</w:t>
      </w:r>
      <w:r>
        <w:rPr>
          <w:rFonts w:hAnsi="宋体"/>
          <w:kern w:val="2"/>
          <w:szCs w:val="20"/>
        </w:rPr>
        <w:t>2018版</w:t>
      </w:r>
      <w:r>
        <w:rPr>
          <w:rFonts w:hint="eastAsia"/>
          <w:lang w:eastAsia="zh-CN"/>
        </w:rPr>
        <w:t>S20180187</w:t>
      </w:r>
    </w:p>
    <w:p>
      <w:pPr>
        <w:widowControl/>
        <w:numPr>
          <w:ilvl w:val="0"/>
          <w:numId w:val="18"/>
        </w:numPr>
        <w:rPr>
          <w:rFonts w:hint="eastAsia"/>
        </w:rPr>
      </w:pPr>
      <w:r>
        <w:rPr>
          <w:rFonts w:hint="eastAsia"/>
          <w:lang w:val="en-US" w:eastAsia="zh-CN"/>
        </w:rPr>
        <w:t>S20180187</w:t>
      </w:r>
      <w:r>
        <w:rPr>
          <w:rFonts w:hint="eastAsia"/>
          <w:szCs w:val="20"/>
          <w:highlight w:val="yellow"/>
        </w:rPr>
        <w:t xml:space="preserve"> </w:t>
      </w:r>
      <w:r>
        <w:rPr>
          <w:szCs w:val="20"/>
          <w:highlight w:val="yellow"/>
        </w:rPr>
        <w:t>-</w:t>
      </w:r>
      <w:r>
        <w:rPr>
          <w:rFonts w:hint="eastAsia" w:hAnsi="宋体"/>
          <w:kern w:val="2"/>
          <w:szCs w:val="20"/>
          <w:lang w:eastAsia="zh-CN"/>
        </w:rPr>
        <w:t>统一</w:t>
      </w:r>
      <w:r>
        <w:rPr>
          <w:rFonts w:hint="eastAsia" w:hAnsi="宋体"/>
          <w:kern w:val="2"/>
          <w:szCs w:val="20"/>
        </w:rPr>
        <w:t>泰康住院保</w:t>
      </w:r>
      <w:r>
        <w:rPr>
          <w:rFonts w:hAnsi="宋体"/>
          <w:kern w:val="2"/>
          <w:szCs w:val="20"/>
        </w:rPr>
        <w:t>2018版</w:t>
      </w:r>
      <w:r>
        <w:rPr>
          <w:rFonts w:hint="eastAsia" w:ascii="微软雅黑" w:hAnsi="微软雅黑" w:eastAsia="微软雅黑" w:cs="微软雅黑"/>
          <w:color w:val="000000"/>
          <w:kern w:val="0"/>
          <w:lang w:bidi="ar"/>
        </w:rPr>
        <w:t>续保，可以续保至销售方案二。具体续保映射关系如下表。</w:t>
      </w:r>
    </w:p>
    <w:p>
      <w:pPr>
        <w:widowControl/>
        <w:numPr>
          <w:ilvl w:val="0"/>
          <w:numId w:val="18"/>
        </w:numPr>
        <w:rPr>
          <w:rFonts w:hint="eastAsia"/>
        </w:rPr>
      </w:pPr>
      <w:r>
        <w:rPr>
          <w:rFonts w:hint="eastAsia"/>
        </w:rPr>
        <w:t>同一被保险人（同一证件号）同一年龄段，续保时</w:t>
      </w:r>
      <w:r>
        <w:rPr>
          <w:rFonts w:hint="eastAsia" w:ascii="微软雅黑" w:hAnsi="微软雅黑" w:eastAsia="微软雅黑" w:cs="微软雅黑"/>
          <w:b/>
          <w:color w:val="000000"/>
          <w:kern w:val="0"/>
          <w:shd w:val="clear" w:color="auto" w:fill="FFFFFF"/>
          <w:lang w:bidi="ar"/>
        </w:rPr>
        <w:t>可选择原方案或保额低于原方案的方案</w:t>
      </w:r>
      <w:r>
        <w:rPr>
          <w:rFonts w:hint="eastAsia"/>
        </w:rPr>
        <w:t>。</w:t>
      </w:r>
    </w:p>
    <w:p>
      <w:pPr>
        <w:widowControl/>
        <w:numPr>
          <w:ilvl w:val="0"/>
          <w:numId w:val="18"/>
        </w:numPr>
        <w:rPr>
          <w:rFonts w:hint="eastAsia"/>
        </w:rPr>
      </w:pPr>
      <w:r>
        <w:rPr>
          <w:rFonts w:hint="eastAsia"/>
        </w:rPr>
        <w:t>同一被保险人（同一证件号）不同年龄段是，续保时</w:t>
      </w:r>
      <w:r>
        <w:rPr>
          <w:rFonts w:hint="eastAsia" w:ascii="微软雅黑" w:hAnsi="微软雅黑" w:eastAsia="微软雅黑" w:cs="微软雅黑"/>
          <w:b/>
          <w:color w:val="000000"/>
          <w:kern w:val="0"/>
          <w:shd w:val="clear" w:color="auto" w:fill="FFFFFF"/>
          <w:lang w:bidi="ar"/>
        </w:rPr>
        <w:t>可选择原方案或保额低于原方案的方案</w:t>
      </w:r>
    </w:p>
    <w:p>
      <w:pPr>
        <w:widowControl/>
        <w:numPr>
          <w:ilvl w:val="0"/>
          <w:numId w:val="18"/>
        </w:numPr>
      </w:pPr>
      <w:r>
        <w:rPr>
          <w:rFonts w:hint="eastAsia" w:ascii="微软雅黑" w:hAnsi="微软雅黑" w:eastAsia="微软雅黑" w:cs="微软雅黑"/>
          <w:color w:val="000000"/>
          <w:kern w:val="0"/>
        </w:rPr>
        <w:t>原</w:t>
      </w:r>
      <w:r>
        <w:rPr>
          <w:rFonts w:hint="eastAsia"/>
          <w:lang w:val="en-US" w:eastAsia="zh-CN"/>
        </w:rPr>
        <w:t>S20180187</w:t>
      </w:r>
      <w:r>
        <w:rPr>
          <w:rFonts w:hint="eastAsia"/>
          <w:szCs w:val="20"/>
          <w:highlight w:val="yellow"/>
        </w:rPr>
        <w:t xml:space="preserve"> </w:t>
      </w:r>
      <w:r>
        <w:rPr>
          <w:szCs w:val="20"/>
          <w:highlight w:val="yellow"/>
        </w:rPr>
        <w:t>-</w:t>
      </w:r>
      <w:r>
        <w:rPr>
          <w:rFonts w:hint="eastAsia" w:hAnsi="宋体"/>
          <w:kern w:val="2"/>
          <w:szCs w:val="20"/>
          <w:lang w:eastAsia="zh-CN"/>
        </w:rPr>
        <w:t>统一</w:t>
      </w:r>
      <w:r>
        <w:rPr>
          <w:rFonts w:hint="eastAsia" w:hAnsi="宋体"/>
          <w:kern w:val="2"/>
          <w:szCs w:val="20"/>
        </w:rPr>
        <w:t>泰康住院保</w:t>
      </w:r>
      <w:r>
        <w:rPr>
          <w:rFonts w:hAnsi="宋体"/>
          <w:kern w:val="2"/>
          <w:szCs w:val="20"/>
        </w:rPr>
        <w:t>2018版</w:t>
      </w:r>
      <w:r>
        <w:rPr>
          <w:rFonts w:hint="eastAsia"/>
          <w:szCs w:val="20"/>
          <w:highlight w:val="yellow"/>
        </w:rPr>
        <w:t xml:space="preserve"> </w:t>
      </w:r>
      <w:r>
        <w:rPr>
          <w:rFonts w:hint="eastAsia" w:ascii="微软雅黑" w:hAnsi="微软雅黑" w:eastAsia="微软雅黑" w:cs="微软雅黑"/>
          <w:color w:val="000000"/>
          <w:kern w:val="0"/>
        </w:rPr>
        <w:t>，可以续保至销售方案二。具体续保映射关系如下表。</w:t>
      </w:r>
    </w:p>
    <w:p>
      <w:pPr>
        <w:widowControl/>
        <w:rPr>
          <w:rFonts w:hint="eastAsia" w:ascii="微软雅黑" w:hAnsi="微软雅黑" w:eastAsia="微软雅黑" w:cs="微软雅黑"/>
          <w:color w:val="000000"/>
          <w:kern w:val="0"/>
        </w:rPr>
      </w:pPr>
      <w:r>
        <w:rPr>
          <w:rFonts w:hint="eastAsia" w:ascii="微软雅黑" w:hAnsi="微软雅黑" w:eastAsia="微软雅黑" w:cs="微软雅黑"/>
          <w:color w:val="000000"/>
          <w:kern w:val="0"/>
        </w:rPr>
        <w:t>原</w:t>
      </w:r>
      <w:r>
        <w:rPr>
          <w:rFonts w:hint="eastAsia"/>
          <w:lang w:val="en-US" w:eastAsia="zh-CN"/>
        </w:rPr>
        <w:t>S20180187</w:t>
      </w:r>
      <w:r>
        <w:rPr>
          <w:rFonts w:hint="eastAsia"/>
          <w:szCs w:val="20"/>
          <w:highlight w:val="yellow"/>
        </w:rPr>
        <w:t xml:space="preserve"> </w:t>
      </w:r>
      <w:r>
        <w:rPr>
          <w:szCs w:val="20"/>
          <w:highlight w:val="yellow"/>
        </w:rPr>
        <w:t>-</w:t>
      </w:r>
      <w:r>
        <w:rPr>
          <w:rFonts w:hint="eastAsia" w:hAnsi="宋体"/>
          <w:kern w:val="2"/>
          <w:szCs w:val="20"/>
          <w:lang w:eastAsia="zh-CN"/>
        </w:rPr>
        <w:t>统一</w:t>
      </w:r>
      <w:r>
        <w:rPr>
          <w:rFonts w:hint="eastAsia" w:hAnsi="宋体"/>
          <w:kern w:val="2"/>
          <w:szCs w:val="20"/>
        </w:rPr>
        <w:t>泰康住院保</w:t>
      </w:r>
      <w:r>
        <w:rPr>
          <w:rFonts w:hAnsi="宋体"/>
          <w:kern w:val="2"/>
          <w:szCs w:val="20"/>
        </w:rPr>
        <w:t>2018版</w:t>
      </w:r>
      <w:r>
        <w:rPr>
          <w:rFonts w:hint="eastAsia" w:ascii="微软雅黑" w:hAnsi="微软雅黑" w:eastAsia="微软雅黑" w:cs="微软雅黑"/>
          <w:color w:val="000000"/>
          <w:kern w:val="0"/>
        </w:rPr>
        <w:t>18-49岁方案被保险人职业属于1-3类且无理赔客户第一年可续保同2018版保费的方案（销售方案二定额方案二）</w:t>
      </w:r>
      <w:r>
        <w:rPr>
          <w:rFonts w:hint="eastAsia" w:ascii="微软雅黑" w:hAnsi="微软雅黑" w:eastAsia="微软雅黑" w:cs="微软雅黑"/>
          <w:color w:val="000000"/>
          <w:kern w:val="0"/>
          <w:lang w:eastAsia="zh-CN"/>
        </w:rPr>
        <w:t>或</w:t>
      </w:r>
      <w:r>
        <w:rPr>
          <w:rFonts w:hint="eastAsia"/>
          <w:szCs w:val="20"/>
          <w:highlight w:val="yellow"/>
        </w:rPr>
        <w:t xml:space="preserve"> </w:t>
      </w:r>
      <w:r>
        <w:rPr>
          <w:rFonts w:hint="eastAsia" w:ascii="微软雅黑" w:hAnsi="微软雅黑" w:eastAsia="微软雅黑" w:cs="微软雅黑"/>
          <w:color w:val="000000"/>
          <w:kern w:val="0"/>
        </w:rPr>
        <w:t>2019新版方案（</w:t>
      </w:r>
      <w:r>
        <w:rPr>
          <w:rFonts w:hint="eastAsia"/>
          <w:szCs w:val="20"/>
          <w:lang w:eastAsia="zh-CN"/>
        </w:rPr>
        <w:t>销售方案二定额方案一</w:t>
      </w:r>
      <w:r>
        <w:rPr>
          <w:rFonts w:hint="eastAsia" w:ascii="微软雅黑" w:hAnsi="微软雅黑" w:eastAsia="微软雅黑" w:cs="微软雅黑"/>
          <w:color w:val="000000"/>
          <w:kern w:val="0"/>
        </w:rPr>
        <w:t>）</w:t>
      </w:r>
    </w:p>
    <w:p>
      <w:pPr>
        <w:widowControl/>
        <w:rPr>
          <w:rFonts w:hint="eastAsia" w:ascii="微软雅黑" w:hAnsi="微软雅黑" w:eastAsia="微软雅黑" w:cs="微软雅黑"/>
          <w:color w:val="000000"/>
          <w:kern w:val="0"/>
        </w:rPr>
      </w:pPr>
      <w:r>
        <w:rPr>
          <w:rFonts w:hint="eastAsia" w:ascii="微软雅黑" w:hAnsi="微软雅黑" w:eastAsia="微软雅黑" w:cs="微软雅黑"/>
          <w:color w:val="000000"/>
          <w:kern w:val="0"/>
        </w:rPr>
        <w:t>其余只能续保2019新版方案（</w:t>
      </w:r>
      <w:r>
        <w:rPr>
          <w:rFonts w:hint="eastAsia"/>
          <w:szCs w:val="20"/>
          <w:lang w:eastAsia="zh-CN"/>
        </w:rPr>
        <w:t>销售方案二定额方案一</w:t>
      </w:r>
      <w:r>
        <w:rPr>
          <w:rFonts w:hint="eastAsia" w:ascii="微软雅黑" w:hAnsi="微软雅黑" w:eastAsia="微软雅黑" w:cs="微软雅黑"/>
          <w:color w:val="000000"/>
          <w:kern w:val="0"/>
        </w:rPr>
        <w:t>）</w:t>
      </w:r>
    </w:p>
    <w:p>
      <w:pPr>
        <w:widowControl/>
        <w:numPr>
          <w:ilvl w:val="0"/>
          <w:numId w:val="18"/>
        </w:numPr>
        <w:rPr>
          <w:rFonts w:hint="eastAsia"/>
        </w:rPr>
      </w:pPr>
    </w:p>
    <w:p>
      <w:pPr>
        <w:pStyle w:val="16"/>
        <w:tabs>
          <w:tab w:val="left" w:pos="1680"/>
        </w:tabs>
        <w:ind w:left="1680" w:firstLine="0" w:firstLineChars="0"/>
        <w:rPr>
          <w:rFonts w:hint="eastAsia"/>
        </w:rPr>
      </w:pPr>
      <w:r>
        <w:rPr>
          <w:rFonts w:hint="eastAsia"/>
        </w:rPr>
        <w:t>例：10+1+1（代表10万人身意外伤害+1万附加意外伤害医疗+1万疾病住院医疗）</w:t>
      </w:r>
    </w:p>
    <w:tbl>
      <w:tblPr>
        <w:tblStyle w:val="11"/>
        <w:tblW w:w="9513" w:type="dxa"/>
        <w:tblInd w:w="93" w:type="dxa"/>
        <w:tblLayout w:type="fixed"/>
        <w:tblCellMar>
          <w:top w:w="0" w:type="dxa"/>
          <w:left w:w="108" w:type="dxa"/>
          <w:bottom w:w="0" w:type="dxa"/>
          <w:right w:w="108" w:type="dxa"/>
        </w:tblCellMar>
      </w:tblPr>
      <w:tblGrid>
        <w:gridCol w:w="10"/>
        <w:gridCol w:w="1070"/>
        <w:gridCol w:w="1770"/>
        <w:gridCol w:w="1786"/>
        <w:gridCol w:w="2580"/>
        <w:gridCol w:w="2297"/>
      </w:tblGrid>
      <w:tr>
        <w:tblPrEx>
          <w:tblLayout w:type="fixed"/>
          <w:tblCellMar>
            <w:top w:w="0" w:type="dxa"/>
            <w:left w:w="108" w:type="dxa"/>
            <w:bottom w:w="0" w:type="dxa"/>
            <w:right w:w="108" w:type="dxa"/>
          </w:tblCellMar>
        </w:tblPrEx>
        <w:trPr>
          <w:gridBefore w:val="1"/>
          <w:wBefore w:w="10" w:type="dxa"/>
          <w:trHeight w:val="270" w:hRule="atLeast"/>
        </w:trPr>
        <w:tc>
          <w:tcPr>
            <w:tcW w:w="9503" w:type="dxa"/>
            <w:gridSpan w:val="5"/>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hint="eastAsia" w:cs="宋体"/>
                <w:color w:val="000000"/>
                <w:kern w:val="0"/>
                <w:sz w:val="22"/>
                <w:szCs w:val="22"/>
              </w:rPr>
            </w:pPr>
          </w:p>
        </w:tc>
      </w:tr>
      <w:tr>
        <w:tblPrEx>
          <w:tblLayout w:type="fixed"/>
          <w:tblCellMar>
            <w:top w:w="0" w:type="dxa"/>
            <w:left w:w="108" w:type="dxa"/>
            <w:bottom w:w="0" w:type="dxa"/>
            <w:right w:w="108" w:type="dxa"/>
          </w:tblCellMar>
        </w:tblPrEx>
        <w:trPr>
          <w:trHeight w:val="285" w:hRule="atLeast"/>
        </w:trPr>
        <w:tc>
          <w:tcPr>
            <w:tcW w:w="1080" w:type="dxa"/>
            <w:gridSpan w:val="2"/>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方案类型</w:t>
            </w:r>
          </w:p>
        </w:tc>
        <w:tc>
          <w:tcPr>
            <w:tcW w:w="1770" w:type="dxa"/>
            <w:tcBorders>
              <w:top w:val="single" w:color="auto" w:sz="8" w:space="0"/>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被保险人年龄</w:t>
            </w:r>
          </w:p>
        </w:tc>
        <w:tc>
          <w:tcPr>
            <w:tcW w:w="1786" w:type="dxa"/>
            <w:tcBorders>
              <w:top w:val="single" w:color="auto" w:sz="8" w:space="0"/>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被保险人职业类别</w:t>
            </w:r>
          </w:p>
        </w:tc>
        <w:tc>
          <w:tcPr>
            <w:tcW w:w="2580" w:type="dxa"/>
            <w:tcBorders>
              <w:top w:val="single" w:color="auto" w:sz="8" w:space="0"/>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新保可承保销售方案一（1307）</w:t>
            </w:r>
          </w:p>
        </w:tc>
        <w:tc>
          <w:tcPr>
            <w:tcW w:w="2297" w:type="dxa"/>
            <w:tcBorders>
              <w:top w:val="single" w:color="auto" w:sz="8" w:space="0"/>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续保可承保销售方案一（1307）</w:t>
            </w:r>
          </w:p>
        </w:tc>
      </w:tr>
      <w:tr>
        <w:tblPrEx>
          <w:tblLayout w:type="fixed"/>
          <w:tblCellMar>
            <w:top w:w="0" w:type="dxa"/>
            <w:left w:w="108" w:type="dxa"/>
            <w:bottom w:w="0" w:type="dxa"/>
            <w:right w:w="108" w:type="dxa"/>
          </w:tblCellMar>
        </w:tblPrEx>
        <w:trPr>
          <w:trHeight w:val="285" w:hRule="atLeast"/>
        </w:trPr>
        <w:tc>
          <w:tcPr>
            <w:tcW w:w="1080" w:type="dxa"/>
            <w:gridSpan w:val="2"/>
            <w:vMerge w:val="restart"/>
            <w:tcBorders>
              <w:top w:val="nil"/>
              <w:left w:val="single" w:color="auto" w:sz="8" w:space="0"/>
              <w:bottom w:val="single" w:color="000000" w:sz="8" w:space="0"/>
              <w:right w:val="single" w:color="auto" w:sz="8" w:space="0"/>
            </w:tcBorders>
            <w:vAlign w:val="center"/>
          </w:tcPr>
          <w:p>
            <w:pPr>
              <w:widowControl/>
              <w:spacing w:line="240" w:lineRule="auto"/>
              <w:jc w:val="center"/>
              <w:rPr>
                <w:rFonts w:hint="eastAsia" w:cs="宋体"/>
                <w:color w:val="000000"/>
                <w:kern w:val="0"/>
                <w:sz w:val="22"/>
                <w:szCs w:val="22"/>
              </w:rPr>
            </w:pPr>
            <w:r>
              <w:rPr>
                <w:rFonts w:hint="eastAsia" w:cs="宋体"/>
                <w:color w:val="000000"/>
                <w:kern w:val="0"/>
                <w:sz w:val="22"/>
                <w:szCs w:val="22"/>
              </w:rPr>
              <w:t>销售方案一</w:t>
            </w:r>
          </w:p>
        </w:tc>
        <w:tc>
          <w:tcPr>
            <w:tcW w:w="1770" w:type="dxa"/>
            <w:vMerge w:val="restart"/>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0(出生满30天)-3(含)</w:t>
            </w:r>
          </w:p>
        </w:tc>
        <w:tc>
          <w:tcPr>
            <w:tcW w:w="1786" w:type="dxa"/>
            <w:vMerge w:val="restart"/>
            <w:tcBorders>
              <w:top w:val="nil"/>
              <w:left w:val="single" w:color="auto" w:sz="8" w:space="0"/>
              <w:bottom w:val="single" w:color="000000"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1-3</w:t>
            </w: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10+1+1(499)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10+1+1(499)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20+2+2(719)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10+1+1(499)、20+2+2(719)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restart"/>
            <w:tcBorders>
              <w:top w:val="nil"/>
              <w:left w:val="single" w:color="auto" w:sz="8" w:space="0"/>
              <w:bottom w:val="nil"/>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4-17</w:t>
            </w:r>
          </w:p>
        </w:tc>
        <w:tc>
          <w:tcPr>
            <w:tcW w:w="1786" w:type="dxa"/>
            <w:vMerge w:val="restart"/>
            <w:tcBorders>
              <w:top w:val="nil"/>
              <w:left w:val="single" w:color="auto" w:sz="8" w:space="0"/>
              <w:bottom w:val="nil"/>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1-3</w:t>
            </w: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nil"/>
              <w:left w:val="single" w:color="auto" w:sz="8" w:space="0"/>
              <w:bottom w:val="nil"/>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nil"/>
              <w:left w:val="single" w:color="auto" w:sz="8" w:space="0"/>
              <w:bottom w:val="nil"/>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20+2+2(329)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10+1+1(239)、20+2+2(329)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restart"/>
            <w:tcBorders>
              <w:top w:val="single" w:color="auto" w:sz="8" w:space="0"/>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18-49</w:t>
            </w:r>
          </w:p>
        </w:tc>
        <w:tc>
          <w:tcPr>
            <w:tcW w:w="1786" w:type="dxa"/>
            <w:vMerge w:val="restart"/>
            <w:tcBorders>
              <w:top w:val="single" w:color="auto" w:sz="8" w:space="0"/>
              <w:left w:val="single" w:color="auto" w:sz="8" w:space="0"/>
              <w:bottom w:val="single" w:color="000000"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1-3</w:t>
            </w: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20+2+2(349)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10+1+1(239)、20+2+2(349)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single" w:color="auto" w:sz="8" w:space="0"/>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30+3+3(469)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10+1+1(239)、20+2+2(349)、30+3+3(469)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50-65</w:t>
            </w:r>
          </w:p>
        </w:tc>
        <w:tc>
          <w:tcPr>
            <w:tcW w:w="1786" w:type="dxa"/>
            <w:tcBorders>
              <w:top w:val="nil"/>
              <w:left w:val="nil"/>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1-3</w:t>
            </w: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2+1+1(419)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2+1+1(419)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restart"/>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18-49</w:t>
            </w:r>
          </w:p>
        </w:tc>
        <w:tc>
          <w:tcPr>
            <w:tcW w:w="1786" w:type="dxa"/>
            <w:vMerge w:val="restart"/>
            <w:tcBorders>
              <w:top w:val="nil"/>
              <w:left w:val="single" w:color="auto" w:sz="8" w:space="0"/>
              <w:bottom w:val="single" w:color="000000"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4</w:t>
            </w: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5+0.5+0.5(239)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5+0.5+0.5(239)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10+1+1(349)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5+0.5+0.5(239)、10+1+1(349)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15+1.5+1.5(469)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5+0.5+0.5(239)、10+1+1(349)、15+1.5+1.5(469)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nil"/>
              <w:left w:val="single" w:color="auto" w:sz="8" w:space="0"/>
              <w:bottom w:val="single" w:color="000000"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50-65</w:t>
            </w:r>
          </w:p>
        </w:tc>
        <w:tc>
          <w:tcPr>
            <w:tcW w:w="1786" w:type="dxa"/>
            <w:tcBorders>
              <w:top w:val="nil"/>
              <w:left w:val="nil"/>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4</w:t>
            </w: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1+0.5+0.5(419)</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1+0.5+0.5(419)</w:t>
            </w:r>
          </w:p>
        </w:tc>
      </w:tr>
      <w:tr>
        <w:tblPrEx>
          <w:tblLayout w:type="fixed"/>
          <w:tblCellMar>
            <w:top w:w="0" w:type="dxa"/>
            <w:left w:w="108" w:type="dxa"/>
            <w:bottom w:w="0" w:type="dxa"/>
            <w:right w:w="108" w:type="dxa"/>
          </w:tblCellMar>
        </w:tblPrEx>
        <w:trPr>
          <w:trHeight w:val="285" w:hRule="atLeast"/>
        </w:trPr>
        <w:tc>
          <w:tcPr>
            <w:tcW w:w="1080" w:type="dxa"/>
            <w:gridSpan w:val="2"/>
            <w:tcBorders>
              <w:top w:val="nil"/>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方案类型</w:t>
            </w:r>
          </w:p>
        </w:tc>
        <w:tc>
          <w:tcPr>
            <w:tcW w:w="177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被保险人年龄</w:t>
            </w:r>
          </w:p>
        </w:tc>
        <w:tc>
          <w:tcPr>
            <w:tcW w:w="1786"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职业类别</w:t>
            </w:r>
          </w:p>
        </w:tc>
        <w:tc>
          <w:tcPr>
            <w:tcW w:w="2580"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原1307承保销售方案</w:t>
            </w:r>
          </w:p>
        </w:tc>
        <w:tc>
          <w:tcPr>
            <w:tcW w:w="2297"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可续保销售方案二的定额方案一（1307）</w:t>
            </w:r>
          </w:p>
        </w:tc>
      </w:tr>
      <w:tr>
        <w:tblPrEx>
          <w:tblLayout w:type="fixed"/>
          <w:tblCellMar>
            <w:top w:w="0" w:type="dxa"/>
            <w:left w:w="108" w:type="dxa"/>
            <w:bottom w:w="0" w:type="dxa"/>
            <w:right w:w="108" w:type="dxa"/>
          </w:tblCellMar>
        </w:tblPrEx>
        <w:trPr>
          <w:trHeight w:val="285" w:hRule="atLeast"/>
        </w:trPr>
        <w:tc>
          <w:tcPr>
            <w:tcW w:w="1080" w:type="dxa"/>
            <w:gridSpan w:val="2"/>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销售方案二</w:t>
            </w:r>
          </w:p>
        </w:tc>
        <w:tc>
          <w:tcPr>
            <w:tcW w:w="1770"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0(出生满30天)-3(含)</w:t>
            </w:r>
          </w:p>
        </w:tc>
        <w:tc>
          <w:tcPr>
            <w:tcW w:w="1786"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1-3</w:t>
            </w: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10+1+2（374）；10+1+1（240）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10+1+1（499）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20+2+2（440）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10+1+1（499）20+2+2(719)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4-17</w:t>
            </w:r>
          </w:p>
        </w:tc>
        <w:tc>
          <w:tcPr>
            <w:tcW w:w="1786"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1-3</w:t>
            </w: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10+1+2（374）；10+1+1（240）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20+2+2（440）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10+1+1(239)</w:t>
            </w:r>
          </w:p>
          <w:p>
            <w:pPr>
              <w:widowControl/>
              <w:spacing w:line="240" w:lineRule="auto"/>
              <w:jc w:val="left"/>
              <w:rPr>
                <w:rFonts w:cs="宋体"/>
                <w:color w:val="000000"/>
                <w:kern w:val="0"/>
                <w:sz w:val="22"/>
                <w:szCs w:val="22"/>
              </w:rPr>
            </w:pPr>
            <w:r>
              <w:rPr>
                <w:rFonts w:hint="eastAsia" w:cs="宋体"/>
                <w:color w:val="000000"/>
                <w:kern w:val="0"/>
                <w:sz w:val="22"/>
                <w:szCs w:val="22"/>
              </w:rPr>
              <w:t>20+2+2(329)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30+3+3（660）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10+1+1(239)</w:t>
            </w:r>
          </w:p>
          <w:p>
            <w:pPr>
              <w:widowControl/>
              <w:spacing w:line="240" w:lineRule="auto"/>
              <w:jc w:val="left"/>
              <w:rPr>
                <w:rFonts w:cs="宋体"/>
                <w:color w:val="000000"/>
                <w:kern w:val="0"/>
                <w:sz w:val="22"/>
                <w:szCs w:val="22"/>
              </w:rPr>
            </w:pPr>
            <w:r>
              <w:rPr>
                <w:rFonts w:hint="eastAsia" w:cs="宋体"/>
                <w:color w:val="000000"/>
                <w:kern w:val="0"/>
                <w:sz w:val="22"/>
                <w:szCs w:val="22"/>
              </w:rPr>
              <w:t>20+2+2(329)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18-49</w:t>
            </w:r>
          </w:p>
        </w:tc>
        <w:tc>
          <w:tcPr>
            <w:tcW w:w="1786"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1-3</w:t>
            </w: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10+1+2（249）；10+1+1（180）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20+2+2（320）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10+1+1(239)、20+2+2(349)、</w:t>
            </w:r>
          </w:p>
        </w:tc>
      </w:tr>
      <w:tr>
        <w:tblPrEx>
          <w:tblLayout w:type="fixed"/>
          <w:tblCellMar>
            <w:top w:w="0" w:type="dxa"/>
            <w:left w:w="108" w:type="dxa"/>
            <w:bottom w:w="0" w:type="dxa"/>
            <w:right w:w="108" w:type="dxa"/>
          </w:tblCellMar>
        </w:tblPrEx>
        <w:trPr>
          <w:trHeight w:val="55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30+3+3（480）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10+1+1(239)、20+2+2(349)、30+3+3(469)、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50-65</w:t>
            </w:r>
          </w:p>
        </w:tc>
        <w:tc>
          <w:tcPr>
            <w:tcW w:w="1786"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1-3</w:t>
            </w: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5+1+1（435）</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2+1+1（419）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18-49</w:t>
            </w:r>
          </w:p>
        </w:tc>
        <w:tc>
          <w:tcPr>
            <w:tcW w:w="1786"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4</w:t>
            </w: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10+1+2（249）；10+1+1（180）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5+0.5+0.5(239)、10+1+1(349)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20+2+2（320）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5+0.5+0.5(239)、10+1+1(349)、15+1.5+1.5(469)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86"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30+3+3（480）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5+0.5+0.5(239)、10+1+1(349)、15+1.5+1.5(469)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50-65</w:t>
            </w:r>
          </w:p>
        </w:tc>
        <w:tc>
          <w:tcPr>
            <w:tcW w:w="1786"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4</w:t>
            </w: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5+1+1（435）</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1+0.5+0.5（419）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被保险人年龄</w:t>
            </w:r>
          </w:p>
        </w:tc>
        <w:tc>
          <w:tcPr>
            <w:tcW w:w="1786"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职业类别</w:t>
            </w: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原1307承保销售方案</w:t>
            </w:r>
          </w:p>
          <w:p>
            <w:pPr>
              <w:widowControl/>
              <w:spacing w:line="240" w:lineRule="auto"/>
              <w:jc w:val="left"/>
              <w:rPr>
                <w:rFonts w:hint="eastAsia" w:cs="宋体"/>
                <w:color w:val="000000"/>
                <w:kern w:val="0"/>
                <w:sz w:val="22"/>
                <w:szCs w:val="22"/>
              </w:rPr>
            </w:pPr>
            <w:r>
              <w:rPr>
                <w:rFonts w:hint="eastAsia"/>
                <w:lang w:val="en-US" w:eastAsia="zh-CN"/>
              </w:rPr>
              <w:t>S20180187</w:t>
            </w:r>
            <w:r>
              <w:rPr>
                <w:rFonts w:hint="eastAsia"/>
                <w:szCs w:val="20"/>
                <w:highlight w:val="yellow"/>
              </w:rPr>
              <w:t xml:space="preserve"> </w:t>
            </w:r>
            <w:r>
              <w:rPr>
                <w:szCs w:val="20"/>
                <w:highlight w:val="yellow"/>
              </w:rPr>
              <w:t>-</w:t>
            </w:r>
            <w:r>
              <w:rPr>
                <w:rFonts w:hint="eastAsia"/>
                <w:szCs w:val="20"/>
                <w:highlight w:val="yellow"/>
                <w:lang w:eastAsia="zh-CN"/>
              </w:rPr>
              <w:t>统一</w:t>
            </w:r>
            <w:r>
              <w:rPr>
                <w:rFonts w:hint="eastAsia"/>
                <w:szCs w:val="20"/>
                <w:highlight w:val="yellow"/>
              </w:rPr>
              <w:t>住院保</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可续保销售方案二的定额方案二（1307）</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hint="eastAsia" w:cs="宋体"/>
                <w:color w:val="000000"/>
                <w:kern w:val="0"/>
                <w:sz w:val="22"/>
                <w:szCs w:val="22"/>
              </w:rPr>
            </w:pPr>
            <w:r>
              <w:rPr>
                <w:rFonts w:hint="eastAsia" w:cs="宋体"/>
                <w:color w:val="000000"/>
                <w:kern w:val="0"/>
                <w:sz w:val="22"/>
                <w:szCs w:val="22"/>
              </w:rPr>
              <w:t>18-49</w:t>
            </w:r>
          </w:p>
        </w:tc>
        <w:tc>
          <w:tcPr>
            <w:tcW w:w="1786"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hint="eastAsia" w:cs="宋体"/>
                <w:color w:val="000000"/>
                <w:kern w:val="0"/>
                <w:sz w:val="22"/>
                <w:szCs w:val="22"/>
              </w:rPr>
            </w:pPr>
            <w:r>
              <w:rPr>
                <w:rFonts w:hint="eastAsia" w:cs="宋体"/>
                <w:color w:val="000000"/>
                <w:kern w:val="0"/>
                <w:sz w:val="22"/>
                <w:szCs w:val="22"/>
              </w:rPr>
              <w:t>1-3</w:t>
            </w: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10+1+2（249）；10+1+1（180）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FF0000"/>
                <w:kern w:val="0"/>
                <w:sz w:val="22"/>
                <w:szCs w:val="22"/>
              </w:rPr>
              <w:t>10+1+2（249）</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hint="eastAsia" w:cs="宋体"/>
                <w:color w:val="000000"/>
                <w:kern w:val="0"/>
                <w:sz w:val="22"/>
                <w:szCs w:val="22"/>
              </w:rPr>
            </w:pPr>
            <w:r>
              <w:rPr>
                <w:rFonts w:hint="eastAsia" w:cs="宋体"/>
                <w:color w:val="000000"/>
                <w:kern w:val="0"/>
                <w:sz w:val="22"/>
                <w:szCs w:val="22"/>
              </w:rPr>
              <w:t>18-49</w:t>
            </w:r>
          </w:p>
        </w:tc>
        <w:tc>
          <w:tcPr>
            <w:tcW w:w="1786"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hint="eastAsia" w:cs="宋体"/>
                <w:color w:val="000000"/>
                <w:kern w:val="0"/>
                <w:sz w:val="22"/>
                <w:szCs w:val="22"/>
              </w:rPr>
            </w:pPr>
            <w:r>
              <w:rPr>
                <w:rFonts w:hint="eastAsia" w:cs="宋体"/>
                <w:color w:val="000000"/>
                <w:kern w:val="0"/>
                <w:sz w:val="22"/>
                <w:szCs w:val="22"/>
              </w:rPr>
              <w:t>1-3</w:t>
            </w: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20+2+2（320）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FF0000"/>
                <w:kern w:val="0"/>
                <w:sz w:val="22"/>
                <w:szCs w:val="22"/>
              </w:rPr>
              <w:t>10+1+2（249 ）和20+20+2（320）</w:t>
            </w:r>
          </w:p>
        </w:tc>
      </w:tr>
      <w:tr>
        <w:tblPrEx>
          <w:tblLayout w:type="fixed"/>
          <w:tblCellMar>
            <w:top w:w="0" w:type="dxa"/>
            <w:left w:w="108" w:type="dxa"/>
            <w:bottom w:w="0" w:type="dxa"/>
            <w:right w:w="108" w:type="dxa"/>
          </w:tblCellMar>
        </w:tblPrEx>
        <w:trPr>
          <w:trHeight w:val="285" w:hRule="atLeast"/>
        </w:trPr>
        <w:tc>
          <w:tcPr>
            <w:tcW w:w="1080"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p>
        </w:tc>
        <w:tc>
          <w:tcPr>
            <w:tcW w:w="177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hint="eastAsia" w:cs="宋体"/>
                <w:color w:val="000000"/>
                <w:kern w:val="0"/>
                <w:sz w:val="22"/>
                <w:szCs w:val="22"/>
              </w:rPr>
            </w:pPr>
            <w:r>
              <w:rPr>
                <w:rFonts w:hint="eastAsia" w:cs="宋体"/>
                <w:color w:val="000000"/>
                <w:kern w:val="0"/>
                <w:sz w:val="22"/>
                <w:szCs w:val="22"/>
              </w:rPr>
              <w:t>18-49</w:t>
            </w:r>
          </w:p>
        </w:tc>
        <w:tc>
          <w:tcPr>
            <w:tcW w:w="1786"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center"/>
              <w:rPr>
                <w:rFonts w:hint="eastAsia" w:cs="宋体"/>
                <w:color w:val="000000"/>
                <w:kern w:val="0"/>
                <w:sz w:val="22"/>
                <w:szCs w:val="22"/>
              </w:rPr>
            </w:pPr>
            <w:r>
              <w:rPr>
                <w:rFonts w:hint="eastAsia" w:cs="宋体"/>
                <w:color w:val="000000"/>
                <w:kern w:val="0"/>
                <w:sz w:val="22"/>
                <w:szCs w:val="22"/>
              </w:rPr>
              <w:t>1-3</w:t>
            </w:r>
          </w:p>
        </w:tc>
        <w:tc>
          <w:tcPr>
            <w:tcW w:w="2580"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000000"/>
                <w:kern w:val="0"/>
                <w:sz w:val="22"/>
                <w:szCs w:val="22"/>
              </w:rPr>
              <w:t>30+3+3（480）</w:t>
            </w:r>
          </w:p>
        </w:tc>
        <w:tc>
          <w:tcPr>
            <w:tcW w:w="2297" w:type="dxa"/>
            <w:tcBorders>
              <w:top w:val="single" w:color="auto" w:sz="8" w:space="0"/>
              <w:left w:val="single" w:color="auto" w:sz="8" w:space="0"/>
              <w:bottom w:val="single" w:color="auto" w:sz="8" w:space="0"/>
              <w:right w:val="single" w:color="auto" w:sz="8" w:space="0"/>
            </w:tcBorders>
            <w:vAlign w:val="center"/>
          </w:tcPr>
          <w:p>
            <w:pPr>
              <w:widowControl/>
              <w:spacing w:line="240" w:lineRule="auto"/>
              <w:jc w:val="left"/>
              <w:rPr>
                <w:rFonts w:hint="eastAsia" w:cs="宋体"/>
                <w:color w:val="000000"/>
                <w:kern w:val="0"/>
                <w:sz w:val="22"/>
                <w:szCs w:val="22"/>
              </w:rPr>
            </w:pPr>
            <w:r>
              <w:rPr>
                <w:rFonts w:hint="eastAsia" w:cs="宋体"/>
                <w:color w:val="FF0000"/>
                <w:kern w:val="0"/>
                <w:sz w:val="22"/>
                <w:szCs w:val="22"/>
              </w:rPr>
              <w:t>10+1+2（249）、20+2+2(320)</w:t>
            </w:r>
            <w:r>
              <w:rPr>
                <w:rFonts w:hint="eastAsia" w:cs="宋体"/>
                <w:color w:val="000000"/>
                <w:kern w:val="0"/>
                <w:sz w:val="22"/>
                <w:szCs w:val="22"/>
              </w:rPr>
              <w:t>、</w:t>
            </w:r>
            <w:r>
              <w:rPr>
                <w:rFonts w:hint="eastAsia" w:cs="宋体"/>
                <w:color w:val="FF0000"/>
                <w:kern w:val="0"/>
                <w:sz w:val="22"/>
                <w:szCs w:val="22"/>
              </w:rPr>
              <w:t>30+3+3（480）</w:t>
            </w:r>
          </w:p>
        </w:tc>
      </w:tr>
    </w:tbl>
    <w:p>
      <w:pPr>
        <w:pStyle w:val="13"/>
        <w:tabs>
          <w:tab w:val="left" w:pos="720"/>
          <w:tab w:val="left" w:pos="1680"/>
        </w:tabs>
        <w:ind w:left="1680" w:firstLine="0" w:firstLineChars="0"/>
        <w:rPr>
          <w:rFonts w:hint="eastAsia"/>
        </w:rPr>
      </w:pPr>
    </w:p>
    <w:p>
      <w:pPr>
        <w:pStyle w:val="13"/>
        <w:tabs>
          <w:tab w:val="left" w:pos="0"/>
          <w:tab w:val="left" w:pos="720"/>
        </w:tabs>
        <w:ind w:firstLine="0" w:firstLineChars="0"/>
        <w:rPr>
          <w:rFonts w:hint="eastAsia"/>
        </w:rPr>
      </w:pPr>
      <w:r>
        <w:rPr>
          <w:rFonts w:hint="eastAsia"/>
        </w:rPr>
        <w:t>第二年往后续保规则：</w:t>
      </w:r>
      <w:r>
        <w:rPr>
          <w:rFonts w:hint="eastAsia" w:cs="宋体"/>
          <w:color w:val="000000"/>
          <w:kern w:val="0"/>
          <w:sz w:val="22"/>
          <w:szCs w:val="22"/>
        </w:rPr>
        <w:t>销售方案二中</w:t>
      </w:r>
      <w:r>
        <w:rPr>
          <w:rFonts w:hint="eastAsia"/>
        </w:rPr>
        <w:t>定额方案二续保至销售方案一的定额方案一</w:t>
      </w:r>
    </w:p>
    <w:tbl>
      <w:tblPr>
        <w:tblStyle w:val="11"/>
        <w:tblW w:w="10260" w:type="dxa"/>
        <w:tblInd w:w="0" w:type="dxa"/>
        <w:tblLayout w:type="fixed"/>
        <w:tblCellMar>
          <w:top w:w="0" w:type="dxa"/>
          <w:left w:w="108" w:type="dxa"/>
          <w:bottom w:w="0" w:type="dxa"/>
          <w:right w:w="108" w:type="dxa"/>
        </w:tblCellMar>
      </w:tblPr>
      <w:tblGrid>
        <w:gridCol w:w="1245"/>
        <w:gridCol w:w="1755"/>
        <w:gridCol w:w="1492"/>
        <w:gridCol w:w="2693"/>
        <w:gridCol w:w="3075"/>
      </w:tblGrid>
      <w:tr>
        <w:tblPrEx>
          <w:tblLayout w:type="fixed"/>
          <w:tblCellMar>
            <w:top w:w="0" w:type="dxa"/>
            <w:left w:w="108" w:type="dxa"/>
            <w:bottom w:w="0" w:type="dxa"/>
            <w:right w:w="108" w:type="dxa"/>
          </w:tblCellMar>
        </w:tblPrEx>
        <w:trPr>
          <w:trHeight w:val="285" w:hRule="atLeast"/>
        </w:trPr>
        <w:tc>
          <w:tcPr>
            <w:tcW w:w="1245" w:type="dxa"/>
            <w:tcBorders>
              <w:top w:val="nil"/>
              <w:left w:val="single" w:color="auto" w:sz="8" w:space="0"/>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方案类型</w:t>
            </w:r>
          </w:p>
        </w:tc>
        <w:tc>
          <w:tcPr>
            <w:tcW w:w="1755"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被保险人年龄</w:t>
            </w:r>
          </w:p>
        </w:tc>
        <w:tc>
          <w:tcPr>
            <w:tcW w:w="1492"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职业类别</w:t>
            </w:r>
          </w:p>
        </w:tc>
        <w:tc>
          <w:tcPr>
            <w:tcW w:w="2693"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rPr>
              <w:t>首年销售方案二定额方案二</w:t>
            </w:r>
          </w:p>
        </w:tc>
        <w:tc>
          <w:tcPr>
            <w:tcW w:w="3075"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rPr>
              <w:t>续保销售方案一</w:t>
            </w:r>
            <w:r>
              <w:rPr>
                <w:rFonts w:hint="eastAsia" w:cs="宋体"/>
                <w:color w:val="000000"/>
                <w:kern w:val="0"/>
                <w:sz w:val="22"/>
                <w:szCs w:val="22"/>
              </w:rPr>
              <w:t>（1307）</w:t>
            </w:r>
          </w:p>
        </w:tc>
      </w:tr>
      <w:tr>
        <w:tblPrEx>
          <w:tblLayout w:type="fixed"/>
          <w:tblCellMar>
            <w:top w:w="0" w:type="dxa"/>
            <w:left w:w="108" w:type="dxa"/>
            <w:bottom w:w="0" w:type="dxa"/>
            <w:right w:w="108" w:type="dxa"/>
          </w:tblCellMar>
        </w:tblPrEx>
        <w:trPr>
          <w:trHeight w:val="285" w:hRule="atLeast"/>
        </w:trPr>
        <w:tc>
          <w:tcPr>
            <w:tcW w:w="1245" w:type="dxa"/>
            <w:vMerge w:val="restart"/>
            <w:tcBorders>
              <w:top w:val="nil"/>
              <w:left w:val="single" w:color="auto" w:sz="8" w:space="0"/>
              <w:bottom w:val="nil"/>
              <w:right w:val="single" w:color="auto" w:sz="8" w:space="0"/>
            </w:tcBorders>
            <w:vAlign w:val="center"/>
          </w:tcPr>
          <w:p>
            <w:pPr>
              <w:widowControl/>
              <w:spacing w:line="240" w:lineRule="auto"/>
              <w:jc w:val="left"/>
              <w:rPr>
                <w:rFonts w:hint="eastAsia"/>
              </w:rPr>
            </w:pPr>
            <w:r>
              <w:rPr>
                <w:rFonts w:hint="eastAsia"/>
              </w:rPr>
              <w:t>销售方案一</w:t>
            </w:r>
          </w:p>
          <w:p>
            <w:pPr>
              <w:widowControl/>
              <w:spacing w:line="240" w:lineRule="auto"/>
              <w:jc w:val="left"/>
              <w:rPr>
                <w:rFonts w:cs="宋体"/>
                <w:color w:val="000000"/>
                <w:kern w:val="0"/>
                <w:sz w:val="22"/>
                <w:szCs w:val="22"/>
              </w:rPr>
            </w:pPr>
            <w:r>
              <w:rPr>
                <w:rFonts w:hint="eastAsia"/>
              </w:rPr>
              <w:t>定额方案二</w:t>
            </w:r>
          </w:p>
        </w:tc>
        <w:tc>
          <w:tcPr>
            <w:tcW w:w="1755" w:type="dxa"/>
            <w:vMerge w:val="restart"/>
            <w:tcBorders>
              <w:top w:val="single" w:color="auto" w:sz="8" w:space="0"/>
              <w:left w:val="single" w:color="auto" w:sz="8" w:space="0"/>
              <w:bottom w:val="nil"/>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18-49</w:t>
            </w:r>
          </w:p>
        </w:tc>
        <w:tc>
          <w:tcPr>
            <w:tcW w:w="1492" w:type="dxa"/>
            <w:vMerge w:val="restart"/>
            <w:tcBorders>
              <w:top w:val="single" w:color="auto" w:sz="8" w:space="0"/>
              <w:left w:val="single" w:color="auto" w:sz="8" w:space="0"/>
              <w:bottom w:val="nil"/>
              <w:right w:val="single" w:color="auto" w:sz="8" w:space="0"/>
            </w:tcBorders>
            <w:vAlign w:val="center"/>
          </w:tcPr>
          <w:p>
            <w:pPr>
              <w:widowControl/>
              <w:spacing w:line="240" w:lineRule="auto"/>
              <w:jc w:val="center"/>
              <w:rPr>
                <w:rFonts w:cs="宋体"/>
                <w:color w:val="000000"/>
                <w:kern w:val="0"/>
                <w:sz w:val="22"/>
                <w:szCs w:val="22"/>
              </w:rPr>
            </w:pPr>
            <w:r>
              <w:rPr>
                <w:rFonts w:hint="eastAsia" w:cs="宋体"/>
                <w:color w:val="000000"/>
                <w:kern w:val="0"/>
                <w:sz w:val="22"/>
                <w:szCs w:val="22"/>
              </w:rPr>
              <w:t>1-3</w:t>
            </w:r>
          </w:p>
        </w:tc>
        <w:tc>
          <w:tcPr>
            <w:tcW w:w="2693"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10+1+2（249）</w:t>
            </w:r>
          </w:p>
        </w:tc>
        <w:tc>
          <w:tcPr>
            <w:tcW w:w="3075"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w:t>
            </w:r>
          </w:p>
        </w:tc>
      </w:tr>
      <w:tr>
        <w:tblPrEx>
          <w:tblLayout w:type="fixed"/>
          <w:tblCellMar>
            <w:top w:w="0" w:type="dxa"/>
            <w:left w:w="108" w:type="dxa"/>
            <w:bottom w:w="0" w:type="dxa"/>
            <w:right w:w="108" w:type="dxa"/>
          </w:tblCellMar>
        </w:tblPrEx>
        <w:trPr>
          <w:trHeight w:val="285" w:hRule="atLeast"/>
        </w:trPr>
        <w:tc>
          <w:tcPr>
            <w:tcW w:w="1245" w:type="dxa"/>
            <w:vMerge w:val="continue"/>
            <w:tcBorders>
              <w:top w:val="nil"/>
              <w:left w:val="single" w:color="auto" w:sz="8" w:space="0"/>
              <w:bottom w:val="nil"/>
              <w:right w:val="single" w:color="auto" w:sz="8" w:space="0"/>
            </w:tcBorders>
            <w:vAlign w:val="center"/>
          </w:tcPr>
          <w:p>
            <w:pPr>
              <w:widowControl/>
              <w:spacing w:line="240" w:lineRule="auto"/>
              <w:jc w:val="left"/>
              <w:rPr>
                <w:rFonts w:cs="宋体"/>
                <w:color w:val="000000"/>
                <w:kern w:val="0"/>
                <w:sz w:val="22"/>
                <w:szCs w:val="22"/>
              </w:rPr>
            </w:pPr>
          </w:p>
        </w:tc>
        <w:tc>
          <w:tcPr>
            <w:tcW w:w="1755" w:type="dxa"/>
            <w:vMerge w:val="continue"/>
            <w:tcBorders>
              <w:top w:val="single" w:color="auto" w:sz="8" w:space="0"/>
              <w:left w:val="single" w:color="auto" w:sz="8" w:space="0"/>
              <w:bottom w:val="nil"/>
              <w:right w:val="single" w:color="auto" w:sz="8" w:space="0"/>
            </w:tcBorders>
            <w:vAlign w:val="center"/>
          </w:tcPr>
          <w:p>
            <w:pPr>
              <w:widowControl/>
              <w:spacing w:line="240" w:lineRule="auto"/>
              <w:jc w:val="left"/>
              <w:rPr>
                <w:rFonts w:cs="宋体"/>
                <w:color w:val="000000"/>
                <w:kern w:val="0"/>
                <w:sz w:val="22"/>
                <w:szCs w:val="22"/>
              </w:rPr>
            </w:pPr>
          </w:p>
        </w:tc>
        <w:tc>
          <w:tcPr>
            <w:tcW w:w="1492" w:type="dxa"/>
            <w:vMerge w:val="continue"/>
            <w:tcBorders>
              <w:top w:val="single" w:color="auto" w:sz="8" w:space="0"/>
              <w:left w:val="single" w:color="auto" w:sz="8" w:space="0"/>
              <w:bottom w:val="nil"/>
              <w:right w:val="single" w:color="auto" w:sz="8" w:space="0"/>
            </w:tcBorders>
            <w:vAlign w:val="center"/>
          </w:tcPr>
          <w:p>
            <w:pPr>
              <w:widowControl/>
              <w:spacing w:line="240" w:lineRule="auto"/>
              <w:jc w:val="left"/>
              <w:rPr>
                <w:rFonts w:cs="宋体"/>
                <w:color w:val="000000"/>
                <w:kern w:val="0"/>
                <w:sz w:val="22"/>
                <w:szCs w:val="22"/>
              </w:rPr>
            </w:pPr>
          </w:p>
        </w:tc>
        <w:tc>
          <w:tcPr>
            <w:tcW w:w="2693"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20+2+2(320)</w:t>
            </w:r>
          </w:p>
        </w:tc>
        <w:tc>
          <w:tcPr>
            <w:tcW w:w="3075"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10+1+1(239)、20+2+2(349)</w:t>
            </w:r>
          </w:p>
        </w:tc>
      </w:tr>
      <w:tr>
        <w:tblPrEx>
          <w:tblLayout w:type="fixed"/>
          <w:tblCellMar>
            <w:top w:w="0" w:type="dxa"/>
            <w:left w:w="108" w:type="dxa"/>
            <w:bottom w:w="0" w:type="dxa"/>
            <w:right w:w="108" w:type="dxa"/>
          </w:tblCellMar>
        </w:tblPrEx>
        <w:trPr>
          <w:trHeight w:val="285" w:hRule="atLeast"/>
        </w:trPr>
        <w:tc>
          <w:tcPr>
            <w:tcW w:w="1245" w:type="dxa"/>
            <w:vMerge w:val="continue"/>
            <w:tcBorders>
              <w:top w:val="nil"/>
              <w:left w:val="single" w:color="auto" w:sz="8" w:space="0"/>
              <w:bottom w:val="nil"/>
              <w:right w:val="single" w:color="auto" w:sz="8" w:space="0"/>
            </w:tcBorders>
            <w:vAlign w:val="center"/>
          </w:tcPr>
          <w:p>
            <w:pPr>
              <w:widowControl/>
              <w:spacing w:line="240" w:lineRule="auto"/>
              <w:jc w:val="left"/>
              <w:rPr>
                <w:rFonts w:cs="宋体"/>
                <w:color w:val="000000"/>
                <w:kern w:val="0"/>
                <w:sz w:val="22"/>
                <w:szCs w:val="22"/>
              </w:rPr>
            </w:pPr>
          </w:p>
        </w:tc>
        <w:tc>
          <w:tcPr>
            <w:tcW w:w="1755" w:type="dxa"/>
            <w:vMerge w:val="continue"/>
            <w:tcBorders>
              <w:top w:val="single" w:color="auto" w:sz="8" w:space="0"/>
              <w:left w:val="single" w:color="auto" w:sz="8" w:space="0"/>
              <w:bottom w:val="nil"/>
              <w:right w:val="single" w:color="auto" w:sz="8" w:space="0"/>
            </w:tcBorders>
            <w:vAlign w:val="center"/>
          </w:tcPr>
          <w:p>
            <w:pPr>
              <w:widowControl/>
              <w:spacing w:line="240" w:lineRule="auto"/>
              <w:jc w:val="left"/>
              <w:rPr>
                <w:rFonts w:cs="宋体"/>
                <w:color w:val="000000"/>
                <w:kern w:val="0"/>
                <w:sz w:val="22"/>
                <w:szCs w:val="22"/>
              </w:rPr>
            </w:pPr>
          </w:p>
        </w:tc>
        <w:tc>
          <w:tcPr>
            <w:tcW w:w="1492" w:type="dxa"/>
            <w:vMerge w:val="continue"/>
            <w:tcBorders>
              <w:top w:val="single" w:color="auto" w:sz="8" w:space="0"/>
              <w:left w:val="single" w:color="auto" w:sz="8" w:space="0"/>
              <w:bottom w:val="nil"/>
              <w:right w:val="single" w:color="auto" w:sz="8" w:space="0"/>
            </w:tcBorders>
            <w:vAlign w:val="center"/>
          </w:tcPr>
          <w:p>
            <w:pPr>
              <w:widowControl/>
              <w:spacing w:line="240" w:lineRule="auto"/>
              <w:jc w:val="left"/>
              <w:rPr>
                <w:rFonts w:cs="宋体"/>
                <w:color w:val="000000"/>
                <w:kern w:val="0"/>
                <w:sz w:val="22"/>
                <w:szCs w:val="22"/>
              </w:rPr>
            </w:pPr>
          </w:p>
        </w:tc>
        <w:tc>
          <w:tcPr>
            <w:tcW w:w="2693"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30+3+3（480）</w:t>
            </w:r>
          </w:p>
        </w:tc>
        <w:tc>
          <w:tcPr>
            <w:tcW w:w="3075" w:type="dxa"/>
            <w:tcBorders>
              <w:top w:val="nil"/>
              <w:left w:val="nil"/>
              <w:bottom w:val="single" w:color="auto" w:sz="8" w:space="0"/>
              <w:right w:val="single" w:color="auto" w:sz="8" w:space="0"/>
            </w:tcBorders>
            <w:vAlign w:val="center"/>
          </w:tcPr>
          <w:p>
            <w:pPr>
              <w:widowControl/>
              <w:spacing w:line="240" w:lineRule="auto"/>
              <w:jc w:val="left"/>
              <w:rPr>
                <w:rFonts w:cs="宋体"/>
                <w:color w:val="000000"/>
                <w:kern w:val="0"/>
                <w:sz w:val="22"/>
                <w:szCs w:val="22"/>
              </w:rPr>
            </w:pPr>
            <w:r>
              <w:rPr>
                <w:rFonts w:hint="eastAsia" w:cs="宋体"/>
                <w:color w:val="000000"/>
                <w:kern w:val="0"/>
                <w:sz w:val="22"/>
                <w:szCs w:val="22"/>
              </w:rPr>
              <w:t>10+1+1(239)、20+2+2(349)、30+3+3(469)</w:t>
            </w:r>
          </w:p>
        </w:tc>
      </w:tr>
      <w:tr>
        <w:tblPrEx>
          <w:tblLayout w:type="fixed"/>
          <w:tblCellMar>
            <w:top w:w="0" w:type="dxa"/>
            <w:left w:w="108" w:type="dxa"/>
            <w:bottom w:w="0" w:type="dxa"/>
            <w:right w:w="108" w:type="dxa"/>
          </w:tblCellMar>
        </w:tblPrEx>
        <w:trPr>
          <w:trHeight w:val="285" w:hRule="atLeast"/>
        </w:trPr>
        <w:tc>
          <w:tcPr>
            <w:tcW w:w="10260" w:type="dxa"/>
            <w:gridSpan w:val="5"/>
            <w:tcBorders>
              <w:top w:val="single" w:color="auto" w:sz="8" w:space="0"/>
              <w:left w:val="single" w:color="auto" w:sz="8" w:space="0"/>
              <w:bottom w:val="single" w:color="auto" w:sz="8" w:space="0"/>
              <w:right w:val="single" w:color="000000" w:sz="8" w:space="0"/>
            </w:tcBorders>
            <w:vAlign w:val="center"/>
          </w:tcPr>
          <w:p>
            <w:pPr>
              <w:widowControl/>
              <w:spacing w:line="240" w:lineRule="auto"/>
              <w:jc w:val="left"/>
              <w:rPr>
                <w:rFonts w:cs="宋体"/>
                <w:b/>
                <w:bCs/>
                <w:color w:val="000000"/>
                <w:kern w:val="0"/>
                <w:sz w:val="22"/>
                <w:szCs w:val="22"/>
              </w:rPr>
            </w:pPr>
            <w:r>
              <w:rPr>
                <w:rFonts w:hint="eastAsia" w:cs="宋体"/>
                <w:b/>
                <w:bCs/>
                <w:color w:val="000000"/>
                <w:kern w:val="0"/>
                <w:sz w:val="22"/>
                <w:szCs w:val="22"/>
              </w:rPr>
              <w:t>注释：</w:t>
            </w:r>
          </w:p>
        </w:tc>
      </w:tr>
    </w:tbl>
    <w:p>
      <w:pPr>
        <w:pStyle w:val="13"/>
        <w:tabs>
          <w:tab w:val="left" w:pos="720"/>
          <w:tab w:val="left" w:pos="1680"/>
        </w:tabs>
        <w:ind w:left="1680" w:firstLine="0" w:firstLineChars="0"/>
        <w:rPr>
          <w:rFonts w:hint="eastAsia"/>
        </w:rPr>
      </w:pPr>
    </w:p>
    <w:p>
      <w:pPr>
        <w:pStyle w:val="13"/>
        <w:tabs>
          <w:tab w:val="left" w:pos="720"/>
          <w:tab w:val="left" w:pos="1680"/>
        </w:tabs>
        <w:ind w:left="1680" w:firstLine="0" w:firstLineChars="0"/>
        <w:rPr>
          <w:rFonts w:hint="eastAsia"/>
        </w:rPr>
      </w:pPr>
    </w:p>
    <w:p>
      <w:pPr>
        <w:pStyle w:val="13"/>
        <w:tabs>
          <w:tab w:val="left" w:pos="720"/>
        </w:tabs>
        <w:ind w:left="1260" w:firstLine="0" w:firstLineChars="0"/>
        <w:rPr>
          <w:rFonts w:hint="eastAsia"/>
        </w:rPr>
      </w:pPr>
      <w:r>
        <w:rPr>
          <w:rFonts w:hint="eastAsia"/>
        </w:rPr>
        <w:t>举例：</w:t>
      </w:r>
    </w:p>
    <w:p>
      <w:pPr>
        <w:pStyle w:val="13"/>
        <w:numPr>
          <w:ilvl w:val="0"/>
          <w:numId w:val="19"/>
        </w:numPr>
        <w:tabs>
          <w:tab w:val="left" w:pos="720"/>
        </w:tabs>
        <w:ind w:firstLineChars="0"/>
        <w:rPr>
          <w:rFonts w:hint="eastAsia"/>
        </w:rPr>
      </w:pPr>
      <w:r>
        <w:rPr>
          <w:rFonts w:hint="eastAsia"/>
          <w:szCs w:val="20"/>
        </w:rPr>
        <w:t>S20190156</w:t>
      </w:r>
      <w:r>
        <w:rPr>
          <w:rFonts w:hint="eastAsia"/>
        </w:rPr>
        <w:t>住院保综合险2019版可作为新保出单，次年续保也可续保至</w:t>
      </w:r>
      <w:r>
        <w:rPr>
          <w:rFonts w:hint="eastAsia"/>
          <w:szCs w:val="20"/>
        </w:rPr>
        <w:t>S20190156</w:t>
      </w:r>
      <w:r>
        <w:rPr>
          <w:rFonts w:hint="eastAsia"/>
        </w:rPr>
        <w:t>住院保综合险2019版</w:t>
      </w:r>
    </w:p>
    <w:p>
      <w:pPr>
        <w:pStyle w:val="13"/>
        <w:numPr>
          <w:ilvl w:val="0"/>
          <w:numId w:val="19"/>
        </w:numPr>
        <w:tabs>
          <w:tab w:val="left" w:pos="720"/>
        </w:tabs>
        <w:ind w:firstLineChars="0"/>
        <w:rPr>
          <w:rFonts w:hint="eastAsia"/>
        </w:rPr>
      </w:pPr>
      <w:r>
        <w:rPr>
          <w:rFonts w:hint="eastAsia"/>
          <w:lang w:val="en-US" w:eastAsia="zh-CN"/>
        </w:rPr>
        <w:t>S20180187</w:t>
      </w:r>
      <w:r>
        <w:rPr>
          <w:rFonts w:hint="eastAsia"/>
          <w:szCs w:val="20"/>
          <w:highlight w:val="yellow"/>
        </w:rPr>
        <w:t xml:space="preserve"> </w:t>
      </w:r>
      <w:r>
        <w:rPr>
          <w:szCs w:val="20"/>
          <w:highlight w:val="yellow"/>
        </w:rPr>
        <w:t>-</w:t>
      </w:r>
      <w:r>
        <w:rPr>
          <w:rFonts w:hint="eastAsia" w:hAnsi="宋体"/>
          <w:kern w:val="2"/>
          <w:szCs w:val="20"/>
          <w:lang w:eastAsia="zh-CN"/>
        </w:rPr>
        <w:t>统一</w:t>
      </w:r>
      <w:r>
        <w:rPr>
          <w:rFonts w:hint="eastAsia" w:hAnsi="宋体"/>
          <w:kern w:val="2"/>
          <w:szCs w:val="20"/>
        </w:rPr>
        <w:t>泰康住院保</w:t>
      </w:r>
      <w:r>
        <w:rPr>
          <w:rFonts w:hAnsi="宋体"/>
          <w:kern w:val="2"/>
          <w:szCs w:val="20"/>
        </w:rPr>
        <w:t>2018版</w:t>
      </w:r>
      <w:r>
        <w:rPr>
          <w:rFonts w:hint="eastAsia"/>
          <w:szCs w:val="20"/>
          <w:highlight w:val="yellow"/>
        </w:rPr>
        <w:t>可续保至S2019015</w:t>
      </w:r>
      <w:r>
        <w:rPr>
          <w:rFonts w:hint="eastAsia"/>
          <w:szCs w:val="20"/>
          <w:highlight w:val="yellow"/>
          <w:lang w:val="en-US" w:eastAsia="zh-CN"/>
        </w:rPr>
        <w:t>7</w:t>
      </w:r>
      <w:r>
        <w:rPr>
          <w:rFonts w:hint="eastAsia"/>
          <w:szCs w:val="20"/>
          <w:highlight w:val="yellow"/>
        </w:rPr>
        <w:t>住院保综合险2019版，次年续保</w:t>
      </w:r>
      <w:r>
        <w:rPr>
          <w:rFonts w:hint="eastAsia"/>
          <w:szCs w:val="20"/>
        </w:rPr>
        <w:t>S20190156</w:t>
      </w:r>
      <w:r>
        <w:rPr>
          <w:rFonts w:hint="eastAsia"/>
        </w:rPr>
        <w:tab/>
      </w:r>
      <w:r>
        <w:rPr>
          <w:rFonts w:hint="eastAsia"/>
        </w:rPr>
        <w:t>住院保综合险2019版</w:t>
      </w:r>
      <w:r>
        <w:rPr>
          <w:rFonts w:hint="eastAsia"/>
          <w:szCs w:val="20"/>
          <w:highlight w:val="yellow"/>
        </w:rPr>
        <w:t>，</w:t>
      </w:r>
    </w:p>
    <w:p>
      <w:pPr>
        <w:pStyle w:val="13"/>
        <w:tabs>
          <w:tab w:val="left" w:pos="720"/>
        </w:tabs>
        <w:ind w:firstLine="0" w:firstLineChars="0"/>
        <w:rPr>
          <w:rFonts w:hint="eastAsia"/>
        </w:rPr>
      </w:pPr>
    </w:p>
    <w:p>
      <w:pPr>
        <w:pStyle w:val="13"/>
        <w:numPr>
          <w:ilvl w:val="3"/>
          <w:numId w:val="8"/>
        </w:numPr>
        <w:ind w:firstLineChars="0"/>
      </w:pPr>
      <w:r>
        <w:t>连续投保时校验上一张保单状态，当保单状态为有效（未退保、未注销、未满期</w:t>
      </w:r>
      <w:r>
        <w:rPr>
          <w:rFonts w:hint="eastAsia"/>
        </w:rPr>
        <w:t>（或未超过宽限期）</w:t>
      </w:r>
      <w:r>
        <w:t>）的，允许连续投保。</w:t>
      </w:r>
      <w:r>
        <w:rPr>
          <w:rFonts w:hint="eastAsia"/>
        </w:rPr>
        <w:t>旧保单有效指：即未满期（或未超过宽限期）、未注销、未退保；如果存在上期关联保单，上期保险合同期满之日前30天（含合同期满当日）内及后30天，可走续保流程的投保；距上期保险合同期满之日前30天或者距上期保险合同期满之日后超过30天的续保投保，续保申请单核保不通过。</w:t>
      </w:r>
    </w:p>
    <w:p>
      <w:pPr>
        <w:pStyle w:val="13"/>
        <w:tabs>
          <w:tab w:val="left" w:pos="720"/>
          <w:tab w:val="left" w:pos="1680"/>
        </w:tabs>
        <w:ind w:left="1680" w:firstLine="0" w:firstLineChars="0"/>
      </w:pPr>
      <w:r>
        <w:rPr>
          <w:rFonts w:hint="eastAsia"/>
        </w:rPr>
        <w:t>例如：上期保单到期日为2017年5月20日23:59:59，则从2017年4月21日00:00：00起至2017年5月20日23:59:59及2017年5月21日00:00:00起至2017年6月19日23:59:59期间内可进行续保投保，2017年4月19日及2017年6月20日等非续保期间内的续保投保，则续保核保不通过；</w:t>
      </w:r>
    </w:p>
    <w:p>
      <w:pPr>
        <w:pStyle w:val="13"/>
        <w:tabs>
          <w:tab w:val="left" w:pos="720"/>
          <w:tab w:val="left" w:pos="1680"/>
        </w:tabs>
        <w:ind w:left="1680" w:firstLine="0" w:firstLineChars="0"/>
      </w:pPr>
      <w:r>
        <w:rPr>
          <w:rFonts w:hint="eastAsia"/>
        </w:rPr>
        <w:t>且2017年4月21日00:00：00起至2017年5月20日23:59:59续保的保单，续保生效日为2017年5月21日00:00:00-2018年5月20日23:59:59，若2017年5月25日续保，则续保生效日为2017年5月26日00:00:00-2018年5月25日23:59:59（续保申请日+1日零时生效）。</w:t>
      </w:r>
    </w:p>
    <w:p>
      <w:pPr>
        <w:pStyle w:val="13"/>
        <w:numPr>
          <w:ilvl w:val="3"/>
          <w:numId w:val="8"/>
        </w:numPr>
        <w:ind w:firstLineChars="0"/>
      </w:pPr>
      <w:r>
        <w:rPr>
          <w:rFonts w:ascii="inherit" w:hAnsi="inherit"/>
          <w:color w:val="000000"/>
        </w:rPr>
        <w:t>保险期满</w:t>
      </w:r>
      <w:r>
        <w:rPr>
          <w:rFonts w:hint="eastAsia" w:ascii="inherit" w:hAnsi="inherit"/>
          <w:color w:val="000000"/>
        </w:rPr>
        <w:t>前</w:t>
      </w:r>
      <w:r>
        <w:rPr>
          <w:rFonts w:ascii="inherit" w:hAnsi="inherit"/>
          <w:color w:val="000000"/>
        </w:rPr>
        <w:t>，经投保人向保险人提出连续投保申请，并经保险人审核同意并收取保险费后，续保合同生效</w:t>
      </w:r>
      <w:r>
        <w:rPr>
          <w:rFonts w:hint="eastAsia" w:ascii="inherit" w:hAnsi="inherit"/>
          <w:color w:val="000000"/>
        </w:rPr>
        <w:t>。若在提出续保后产生理赔，续保合同依然生效，生效日仍然为上一期终保日ENDDATE+1日的零时。理赔情况自动记录到下一年年保单。</w:t>
      </w:r>
    </w:p>
    <w:p>
      <w:pPr>
        <w:pStyle w:val="13"/>
        <w:numPr>
          <w:ilvl w:val="3"/>
          <w:numId w:val="8"/>
        </w:numPr>
        <w:ind w:firstLineChars="0"/>
      </w:pPr>
      <w:r>
        <w:rPr>
          <w:rFonts w:hint="eastAsia"/>
        </w:rPr>
        <w:t>存在批单不允许续保</w:t>
      </w:r>
    </w:p>
    <w:p>
      <w:pPr>
        <w:rPr>
          <w:b/>
        </w:rPr>
      </w:pPr>
      <w:r>
        <w:rPr>
          <w:rFonts w:hint="eastAsia"/>
          <w:b/>
        </w:rPr>
        <w:t>注：本产品的投被保险人的投保年龄统一按起保日期计算。例：当前日期</w:t>
      </w:r>
      <w:r>
        <w:rPr>
          <w:b/>
        </w:rPr>
        <w:t>2005年12月5日，被保险人生日为2000年1月1日，保单起保日期为2006年1月2日，则被保险人投保年龄为6岁（2001年1月1日开始算1岁）。</w:t>
      </w:r>
    </w:p>
    <w:p>
      <w:pPr>
        <w:pStyle w:val="16"/>
        <w:tabs>
          <w:tab w:val="left" w:pos="1680"/>
        </w:tabs>
        <w:ind w:left="1680" w:firstLine="0" w:firstLineChars="0"/>
      </w:pPr>
    </w:p>
    <w:p>
      <w:pPr>
        <w:pStyle w:val="13"/>
        <w:numPr>
          <w:ilvl w:val="0"/>
          <w:numId w:val="8"/>
        </w:numPr>
        <w:ind w:firstLineChars="0"/>
      </w:pPr>
      <w:r>
        <w:rPr>
          <w:rFonts w:hint="eastAsia"/>
        </w:rPr>
        <w:t>若自</w:t>
      </w:r>
      <w:r>
        <w:t>动核保</w:t>
      </w:r>
      <w:r>
        <w:rPr>
          <w:rFonts w:hint="eastAsia"/>
        </w:rPr>
        <w:t>不</w:t>
      </w:r>
      <w:r>
        <w:t>通过</w:t>
      </w:r>
      <w:r>
        <w:rPr>
          <w:rFonts w:hint="eastAsia"/>
        </w:rPr>
        <w:t>是</w:t>
      </w:r>
      <w:r>
        <w:t>转人工核保还是</w:t>
      </w:r>
      <w:r>
        <w:rPr>
          <w:rFonts w:hint="eastAsia"/>
        </w:rPr>
        <w:t>拒</w:t>
      </w:r>
      <w:r>
        <w:t>保？</w:t>
      </w:r>
      <w:r>
        <w:rPr>
          <w:rFonts w:hint="eastAsia"/>
        </w:rPr>
        <w:t>___B_______A</w:t>
      </w:r>
      <w:r>
        <w:t>.</w:t>
      </w:r>
      <w:r>
        <w:rPr>
          <w:rFonts w:hint="eastAsia"/>
        </w:rPr>
        <w:t>转人</w:t>
      </w:r>
      <w:r>
        <w:t>工核保B.</w:t>
      </w:r>
      <w:r>
        <w:rPr>
          <w:rFonts w:hint="eastAsia"/>
        </w:rPr>
        <w:t>拒保。</w:t>
      </w:r>
    </w:p>
    <w:p>
      <w:pPr>
        <w:rPr>
          <w:rFonts w:hint="eastAsia" w:ascii="仿宋" w:hAnsi="仿宋" w:eastAsia="仿宋"/>
          <w:sz w:val="2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inherit">
    <w:altName w:val="Times New Roman"/>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24D2C2"/>
    <w:multiLevelType w:val="singleLevel"/>
    <w:tmpl w:val="9E24D2C2"/>
    <w:lvl w:ilvl="0" w:tentative="0">
      <w:start w:val="1"/>
      <w:numFmt w:val="bullet"/>
      <w:lvlText w:val=""/>
      <w:lvlJc w:val="left"/>
      <w:pPr>
        <w:ind w:left="420" w:hanging="420"/>
      </w:pPr>
      <w:rPr>
        <w:rFonts w:hint="default" w:ascii="Wingdings" w:hAnsi="Wingdings"/>
      </w:rPr>
    </w:lvl>
  </w:abstractNum>
  <w:abstractNum w:abstractNumId="1">
    <w:nsid w:val="DF519EB1"/>
    <w:multiLevelType w:val="singleLevel"/>
    <w:tmpl w:val="DF519EB1"/>
    <w:lvl w:ilvl="0" w:tentative="0">
      <w:start w:val="1"/>
      <w:numFmt w:val="decimal"/>
      <w:lvlText w:val="%1."/>
      <w:lvlJc w:val="left"/>
      <w:pPr>
        <w:tabs>
          <w:tab w:val="left" w:pos="312"/>
        </w:tabs>
      </w:pPr>
    </w:lvl>
  </w:abstractNum>
  <w:abstractNum w:abstractNumId="2">
    <w:nsid w:val="FBE8DD19"/>
    <w:multiLevelType w:val="singleLevel"/>
    <w:tmpl w:val="FBE8DD19"/>
    <w:lvl w:ilvl="0" w:tentative="0">
      <w:start w:val="1"/>
      <w:numFmt w:val="bullet"/>
      <w:lvlText w:val=""/>
      <w:lvlJc w:val="left"/>
      <w:pPr>
        <w:ind w:left="420" w:hanging="420"/>
      </w:pPr>
      <w:rPr>
        <w:rFonts w:hint="default" w:ascii="Wingdings" w:hAnsi="Wingdings"/>
      </w:rPr>
    </w:lvl>
  </w:abstractNum>
  <w:abstractNum w:abstractNumId="3">
    <w:nsid w:val="FEA114DB"/>
    <w:multiLevelType w:val="singleLevel"/>
    <w:tmpl w:val="FEA114DB"/>
    <w:lvl w:ilvl="0" w:tentative="0">
      <w:start w:val="1"/>
      <w:numFmt w:val="decimal"/>
      <w:lvlText w:val="%1."/>
      <w:lvlJc w:val="left"/>
      <w:pPr>
        <w:tabs>
          <w:tab w:val="left" w:pos="312"/>
        </w:tabs>
      </w:pPr>
    </w:lvl>
  </w:abstractNum>
  <w:abstractNum w:abstractNumId="4">
    <w:nsid w:val="10FA8E0B"/>
    <w:multiLevelType w:val="singleLevel"/>
    <w:tmpl w:val="10FA8E0B"/>
    <w:lvl w:ilvl="0" w:tentative="0">
      <w:start w:val="1"/>
      <w:numFmt w:val="decimal"/>
      <w:lvlText w:val="%1."/>
      <w:lvlJc w:val="left"/>
      <w:pPr>
        <w:tabs>
          <w:tab w:val="left" w:pos="312"/>
        </w:tabs>
      </w:pPr>
    </w:lvl>
  </w:abstractNum>
  <w:abstractNum w:abstractNumId="5">
    <w:nsid w:val="38255666"/>
    <w:multiLevelType w:val="singleLevel"/>
    <w:tmpl w:val="38255666"/>
    <w:lvl w:ilvl="0" w:tentative="0">
      <w:start w:val="1"/>
      <w:numFmt w:val="decimal"/>
      <w:lvlText w:val="%1."/>
      <w:lvlJc w:val="left"/>
      <w:pPr>
        <w:ind w:left="425" w:hanging="425"/>
      </w:pPr>
      <w:rPr>
        <w:rFonts w:hint="default"/>
      </w:rPr>
    </w:lvl>
  </w:abstractNum>
  <w:abstractNum w:abstractNumId="6">
    <w:nsid w:val="3981518E"/>
    <w:multiLevelType w:val="singleLevel"/>
    <w:tmpl w:val="3981518E"/>
    <w:lvl w:ilvl="0" w:tentative="0">
      <w:start w:val="1"/>
      <w:numFmt w:val="decimal"/>
      <w:lvlText w:val="%1."/>
      <w:lvlJc w:val="left"/>
      <w:pPr>
        <w:tabs>
          <w:tab w:val="left" w:pos="312"/>
        </w:tabs>
      </w:pPr>
    </w:lvl>
  </w:abstractNum>
  <w:abstractNum w:abstractNumId="7">
    <w:nsid w:val="3A7D0A35"/>
    <w:multiLevelType w:val="multilevel"/>
    <w:tmpl w:val="3A7D0A35"/>
    <w:lvl w:ilvl="0" w:tentative="0">
      <w:start w:val="1"/>
      <w:numFmt w:val="bullet"/>
      <w:lvlText w:val=""/>
      <w:lvlJc w:val="left"/>
      <w:pPr>
        <w:tabs>
          <w:tab w:val="left" w:pos="720"/>
        </w:tabs>
        <w:ind w:left="720" w:hanging="720"/>
      </w:pPr>
      <w:rPr>
        <w:rFonts w:hint="default" w:ascii="Wingdings" w:hAnsi="Wingdings"/>
        <w:color w:val="auto"/>
        <w:u w:val="none"/>
      </w:rPr>
    </w:lvl>
    <w:lvl w:ilvl="1" w:tentative="0">
      <w:start w:val="1"/>
      <w:numFmt w:val="lowerLetter"/>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A5900A3"/>
    <w:multiLevelType w:val="multilevel"/>
    <w:tmpl w:val="4A5900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4BD85582"/>
    <w:multiLevelType w:val="multilevel"/>
    <w:tmpl w:val="4BD8558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C3F6201"/>
    <w:multiLevelType w:val="multilevel"/>
    <w:tmpl w:val="4C3F620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0C770B1"/>
    <w:multiLevelType w:val="multilevel"/>
    <w:tmpl w:val="60C770B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671B4D83"/>
    <w:multiLevelType w:val="multilevel"/>
    <w:tmpl w:val="671B4D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6F45086F"/>
    <w:multiLevelType w:val="multilevel"/>
    <w:tmpl w:val="6F45086F"/>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tentative="0">
      <w:start w:val="1"/>
      <w:numFmt w:val="decimal"/>
      <w:pStyle w:val="4"/>
      <w:lvlText w:val="%1.%2.%3"/>
      <w:lvlJc w:val="left"/>
      <w:pPr>
        <w:ind w:left="862"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14">
    <w:nsid w:val="6FD04EC0"/>
    <w:multiLevelType w:val="multilevel"/>
    <w:tmpl w:val="6FD04EC0"/>
    <w:lvl w:ilvl="0" w:tentative="0">
      <w:start w:val="1"/>
      <w:numFmt w:val="bullet"/>
      <w:lvlText w:val=""/>
      <w:lvlJc w:val="left"/>
      <w:pPr>
        <w:tabs>
          <w:tab w:val="left" w:pos="720"/>
        </w:tabs>
        <w:ind w:left="720" w:hanging="720"/>
      </w:pPr>
      <w:rPr>
        <w:rFonts w:hint="default" w:ascii="Wingdings" w:hAnsi="Wingdings"/>
        <w:color w:val="auto"/>
        <w:u w:val="none"/>
      </w:rPr>
    </w:lvl>
    <w:lvl w:ilvl="1" w:tentative="0">
      <w:start w:val="1"/>
      <w:numFmt w:val="lowerLetter"/>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040"/>
        </w:tabs>
        <w:ind w:left="2040" w:hanging="360"/>
      </w:pPr>
      <w:rPr>
        <w:rFonts w:hint="default"/>
      </w:rPr>
    </w:lvl>
    <w:lvl w:ilvl="5" w:tentative="0">
      <w:start w:val="1"/>
      <w:numFmt w:val="decimalZero"/>
      <w:lvlText w:val="%6-"/>
      <w:lvlJc w:val="left"/>
      <w:pPr>
        <w:ind w:left="2460" w:hanging="360"/>
      </w:pPr>
      <w:rPr>
        <w:rFonts w:hint="default"/>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73BE02B7"/>
    <w:multiLevelType w:val="multilevel"/>
    <w:tmpl w:val="73BE02B7"/>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6">
    <w:nsid w:val="74761FA5"/>
    <w:multiLevelType w:val="multilevel"/>
    <w:tmpl w:val="74761FA5"/>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7">
    <w:nsid w:val="760D327E"/>
    <w:multiLevelType w:val="multilevel"/>
    <w:tmpl w:val="760D327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766958DF"/>
    <w:multiLevelType w:val="multilevel"/>
    <w:tmpl w:val="766958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3"/>
  </w:num>
  <w:num w:numId="2">
    <w:abstractNumId w:val="18"/>
  </w:num>
  <w:num w:numId="3">
    <w:abstractNumId w:val="11"/>
  </w:num>
  <w:num w:numId="4">
    <w:abstractNumId w:val="2"/>
  </w:num>
  <w:num w:numId="5">
    <w:abstractNumId w:val="17"/>
  </w:num>
  <w:num w:numId="6">
    <w:abstractNumId w:val="12"/>
  </w:num>
  <w:num w:numId="7">
    <w:abstractNumId w:val="7"/>
  </w:num>
  <w:num w:numId="8">
    <w:abstractNumId w:val="14"/>
  </w:num>
  <w:num w:numId="9">
    <w:abstractNumId w:val="3"/>
  </w:num>
  <w:num w:numId="10">
    <w:abstractNumId w:val="6"/>
  </w:num>
  <w:num w:numId="11">
    <w:abstractNumId w:val="4"/>
  </w:num>
  <w:num w:numId="12">
    <w:abstractNumId w:val="1"/>
  </w:num>
  <w:num w:numId="13">
    <w:abstractNumId w:val="10"/>
  </w:num>
  <w:num w:numId="14">
    <w:abstractNumId w:val="9"/>
  </w:num>
  <w:num w:numId="15">
    <w:abstractNumId w:val="16"/>
  </w:num>
  <w:num w:numId="16">
    <w:abstractNumId w:val="15"/>
  </w:num>
  <w:num w:numId="17">
    <w:abstractNumId w:val="8"/>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6B06F2"/>
    <w:rsid w:val="03F1003C"/>
    <w:rsid w:val="216B06F2"/>
    <w:rsid w:val="22370F1F"/>
    <w:rsid w:val="2E803E59"/>
    <w:rsid w:val="4F2E7511"/>
    <w:rsid w:val="63385EE5"/>
    <w:rsid w:val="69382AEB"/>
    <w:rsid w:val="71E72FDA"/>
    <w:rsid w:val="7D9E73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宋体" w:eastAsia="宋体" w:cs="Times New Roman"/>
      <w:kern w:val="2"/>
      <w:sz w:val="21"/>
      <w:szCs w:val="21"/>
      <w:lang w:val="en-US" w:eastAsia="zh-CN" w:bidi="ar-SA"/>
    </w:rPr>
  </w:style>
  <w:style w:type="paragraph" w:styleId="2">
    <w:name w:val="heading 1"/>
    <w:basedOn w:val="1"/>
    <w:next w:val="1"/>
    <w:qFormat/>
    <w:uiPriority w:val="9"/>
    <w:pPr>
      <w:keepNext/>
      <w:keepLines/>
      <w:numPr>
        <w:ilvl w:val="0"/>
        <w:numId w:val="1"/>
      </w:numPr>
      <w:spacing w:before="340" w:after="330" w:line="578" w:lineRule="auto"/>
      <w:outlineLvl w:val="0"/>
    </w:pPr>
    <w:rPr>
      <w:rFonts w:ascii="黑体" w:eastAsia="黑体"/>
      <w:b/>
      <w:bCs/>
      <w:kern w:val="44"/>
      <w:sz w:val="36"/>
      <w:szCs w:val="36"/>
    </w:rPr>
  </w:style>
  <w:style w:type="paragraph" w:styleId="3">
    <w:name w:val="heading 2"/>
    <w:basedOn w:val="1"/>
    <w:next w:val="1"/>
    <w:qFormat/>
    <w:uiPriority w:val="9"/>
    <w:pPr>
      <w:keepNext/>
      <w:keepLines/>
      <w:numPr>
        <w:ilvl w:val="1"/>
        <w:numId w:val="1"/>
      </w:numPr>
      <w:spacing w:before="260" w:after="260" w:line="416" w:lineRule="auto"/>
      <w:outlineLvl w:val="1"/>
    </w:pPr>
    <w:rPr>
      <w:rFonts w:ascii="黑体" w:hAnsi="Cambria" w:eastAsia="黑体"/>
      <w:b/>
      <w:bCs/>
      <w:kern w:val="0"/>
      <w:sz w:val="32"/>
      <w:szCs w:val="32"/>
    </w:rPr>
  </w:style>
  <w:style w:type="paragraph" w:styleId="4">
    <w:name w:val="heading 3"/>
    <w:basedOn w:val="1"/>
    <w:next w:val="1"/>
    <w:qFormat/>
    <w:uiPriority w:val="9"/>
    <w:pPr>
      <w:keepNext/>
      <w:keepLines/>
      <w:numPr>
        <w:ilvl w:val="2"/>
        <w:numId w:val="1"/>
      </w:numPr>
      <w:spacing w:before="260" w:after="260" w:line="416" w:lineRule="auto"/>
      <w:outlineLvl w:val="2"/>
    </w:pPr>
    <w:rPr>
      <w:rFonts w:ascii="黑体" w:eastAsia="黑体"/>
      <w:bCs/>
      <w:kern w:val="0"/>
      <w:sz w:val="30"/>
      <w:szCs w:val="30"/>
    </w:rPr>
  </w:style>
  <w:style w:type="paragraph" w:styleId="5">
    <w:name w:val="heading 4"/>
    <w:basedOn w:val="1"/>
    <w:next w:val="1"/>
    <w:qFormat/>
    <w:uiPriority w:val="9"/>
    <w:pPr>
      <w:keepNext/>
      <w:keepLines/>
      <w:numPr>
        <w:ilvl w:val="3"/>
        <w:numId w:val="1"/>
      </w:numPr>
      <w:spacing w:before="280" w:after="290" w:line="376" w:lineRule="auto"/>
      <w:outlineLvl w:val="3"/>
    </w:pPr>
    <w:rPr>
      <w:rFonts w:ascii="Cambria" w:hAnsi="Cambria"/>
      <w:b/>
      <w:bCs/>
      <w:kern w:val="0"/>
      <w:sz w:val="28"/>
      <w:szCs w:val="28"/>
    </w:rPr>
  </w:style>
  <w:style w:type="character" w:default="1" w:styleId="8">
    <w:name w:val="Default Paragraph Font"/>
    <w:semiHidden/>
    <w:uiPriority w:val="0"/>
  </w:style>
  <w:style w:type="table" w:default="1" w:styleId="11">
    <w:name w:val="Normal Table"/>
    <w:semiHidden/>
    <w:uiPriority w:val="0"/>
    <w:tblPr>
      <w:tblLayout w:type="fixed"/>
      <w:tblCellMar>
        <w:top w:w="0" w:type="dxa"/>
        <w:left w:w="108" w:type="dxa"/>
        <w:bottom w:w="0" w:type="dxa"/>
        <w:right w:w="108" w:type="dxa"/>
      </w:tblCellMar>
    </w:tblPr>
  </w:style>
  <w:style w:type="paragraph" w:styleId="6">
    <w:name w:val="Body Text"/>
    <w:basedOn w:val="1"/>
    <w:qFormat/>
    <w:uiPriority w:val="0"/>
    <w:pPr>
      <w:spacing w:after="120" w:line="240" w:lineRule="auto"/>
    </w:pPr>
    <w:rPr>
      <w:rFonts w:ascii="Times New Roman" w:hAnsi="Times New Roman"/>
      <w:kern w:val="0"/>
      <w:sz w:val="20"/>
      <w:szCs w:val="24"/>
    </w:rPr>
  </w:style>
  <w:style w:type="paragraph" w:styleId="7">
    <w:name w:val="Plain Text"/>
    <w:basedOn w:val="1"/>
    <w:qFormat/>
    <w:uiPriority w:val="99"/>
    <w:pPr>
      <w:spacing w:line="240" w:lineRule="auto"/>
    </w:pPr>
    <w:rPr>
      <w:rFonts w:hAnsi="Courier New" w:cs="宋体"/>
    </w:rPr>
  </w:style>
  <w:style w:type="character" w:styleId="9">
    <w:name w:val="Hyperlink"/>
    <w:basedOn w:val="8"/>
    <w:unhideWhenUsed/>
    <w:uiPriority w:val="99"/>
    <w:rPr>
      <w:color w:val="0000FF"/>
      <w:u w:val="single"/>
    </w:rPr>
  </w:style>
  <w:style w:type="character" w:styleId="10">
    <w:name w:val="annotation reference"/>
    <w:basedOn w:val="8"/>
    <w:unhideWhenUsed/>
    <w:qFormat/>
    <w:uiPriority w:val="99"/>
    <w:rPr>
      <w:sz w:val="21"/>
      <w:szCs w:val="21"/>
    </w:rPr>
  </w:style>
  <w:style w:type="paragraph" w:customStyle="1" w:styleId="12">
    <w:name w:val="No Spacing"/>
    <w:qFormat/>
    <w:uiPriority w:val="1"/>
    <w:pPr>
      <w:widowControl w:val="0"/>
      <w:ind w:firstLine="420"/>
      <w:jc w:val="both"/>
    </w:pPr>
    <w:rPr>
      <w:rFonts w:ascii="楷体_GB2312" w:hAnsi="Times New Roman" w:eastAsia="楷体_GB2312" w:cs="Times New Roman"/>
      <w:kern w:val="2"/>
      <w:sz w:val="21"/>
      <w:szCs w:val="21"/>
      <w:lang w:val="en-US" w:eastAsia="zh-CN" w:bidi="ar-SA"/>
    </w:rPr>
  </w:style>
  <w:style w:type="paragraph" w:customStyle="1" w:styleId="13">
    <w:name w:val="列出段落1"/>
    <w:basedOn w:val="1"/>
    <w:qFormat/>
    <w:uiPriority w:val="34"/>
    <w:pPr>
      <w:ind w:firstLine="200" w:firstLineChars="200"/>
    </w:pPr>
    <w:rPr>
      <w:rFonts w:ascii="宋体" w:hAnsi="宋体" w:eastAsia="宋体"/>
    </w:rPr>
  </w:style>
  <w:style w:type="paragraph" w:customStyle="1" w:styleId="14">
    <w:name w:val="List Paragraph"/>
    <w:basedOn w:val="1"/>
    <w:qFormat/>
    <w:uiPriority w:val="34"/>
    <w:pPr>
      <w:ind w:firstLine="200" w:firstLineChars="200"/>
    </w:pPr>
  </w:style>
  <w:style w:type="character" w:customStyle="1" w:styleId="15">
    <w:name w:val="emtidy-3"/>
    <w:basedOn w:val="8"/>
    <w:qFormat/>
    <w:uiPriority w:val="0"/>
  </w:style>
  <w:style w:type="paragraph" w:customStyle="1" w:styleId="16">
    <w:name w:val="列出段落11"/>
    <w:basedOn w:val="1"/>
    <w:qFormat/>
    <w:uiPriority w:val="34"/>
    <w:pPr>
      <w:ind w:firstLine="200" w:firstLineChars="200"/>
    </w:pPr>
    <w:rPr>
      <w:rFonts w:ascii="宋体" w:hAnsi="宋体" w:eastAsia="宋体"/>
    </w:rPr>
  </w:style>
  <w:style w:type="character" w:customStyle="1" w:styleId="17">
    <w:name w:val="书籍标题1"/>
    <w:qFormat/>
    <w:uiPriority w:val="33"/>
    <w:rPr>
      <w:smallCaps/>
      <w:spacing w:val="5"/>
    </w:rPr>
  </w:style>
  <w:style w:type="character" w:customStyle="1" w:styleId="18">
    <w:name w:val="emtidy-1"/>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emf"/><Relationship Id="rId7" Type="http://schemas.openxmlformats.org/officeDocument/2006/relationships/oleObject" Target="embeddings/oleObject2.bin"/><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emf"/><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7.bin"/><Relationship Id="rId17" Type="http://schemas.openxmlformats.org/officeDocument/2006/relationships/image" Target="media/image8.emf"/><Relationship Id="rId16" Type="http://schemas.openxmlformats.org/officeDocument/2006/relationships/oleObject" Target="embeddings/oleObject6.bin"/><Relationship Id="rId15" Type="http://schemas.openxmlformats.org/officeDocument/2006/relationships/image" Target="media/image7.emf"/><Relationship Id="rId14" Type="http://schemas.openxmlformats.org/officeDocument/2006/relationships/oleObject" Target="embeddings/oleObject5.bin"/><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oleObject" Target="embeddings/oleObject4.bin"/><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Office_10.8.2.6543_F1E327BC-269C-435d-A152-05C5408002CA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2019-05-09T09:42:00Z</dcterms:created>
  <dc:creator>wangzn15</dc:creator>
  <cp:lastModifiedBy>wangzn15</cp:lastModifiedBy>
  <dcterms:modified xsi:type="dcterms:W3CDTF">2019-05-09T09:53:44Z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2052-10.8.2.6543</vt:lpwstr>
  </property>
</Properties>
</file>