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Chars="0"/>
      </w:pPr>
    </w:p>
    <w:p>
      <w:pPr>
        <w:ind w:firstLineChars="0"/>
      </w:pPr>
    </w:p>
    <w:p>
      <w:pPr>
        <w:ind w:firstLineChars="0"/>
      </w:pPr>
    </w:p>
    <w:p>
      <w:pPr>
        <w:ind w:firstLineChars="0"/>
      </w:pPr>
    </w:p>
    <w:p>
      <w:pPr>
        <w:ind w:firstLineChars="0"/>
      </w:pPr>
    </w:p>
    <w:p>
      <w:pPr>
        <w:ind w:firstLineChars="0"/>
        <w:jc w:val="center"/>
        <w:rPr>
          <w:rFonts w:hint="eastAsia" w:eastAsia="华文仿宋"/>
          <w:b/>
          <w:sz w:val="52"/>
          <w:szCs w:val="52"/>
          <w:lang w:val="en-US" w:eastAsia="zh-CN"/>
        </w:rPr>
      </w:pPr>
      <w:r>
        <w:rPr>
          <w:rFonts w:hint="eastAsia"/>
          <w:b/>
          <w:sz w:val="52"/>
          <w:szCs w:val="52"/>
          <w:lang w:val="en-US" w:eastAsia="zh-CN"/>
        </w:rPr>
        <w:t>汇总结算</w:t>
      </w: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Chars="0"/>
      </w:pPr>
    </w:p>
    <w:p>
      <w:pPr>
        <w:ind w:firstLine="0" w:firstLineChars="0"/>
        <w:jc w:val="center"/>
      </w:pPr>
      <w:r>
        <w:drawing>
          <wp:inline distT="0" distB="0" distL="0" distR="0">
            <wp:extent cx="2214245" cy="438785"/>
            <wp:effectExtent l="0" t="0" r="0" b="0"/>
            <wp:docPr id="1" name="图片 1" descr="D:\01.Projects\CountInsurance\trunk\04.Document\03.功能设计\康特LOGO\JPG\0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1.Projects\CountInsurance\trunk\04.Document\03.功能设计\康特LOGO\JPG\02-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t="10845" b="16827"/>
                    <a:stretch>
                      <a:fillRect/>
                    </a:stretch>
                  </pic:blipFill>
                  <pic:spPr>
                    <a:xfrm>
                      <a:off x="0" y="0"/>
                      <a:ext cx="2230361" cy="442065"/>
                    </a:xfrm>
                    <a:prstGeom prst="rect">
                      <a:avLst/>
                    </a:prstGeom>
                    <a:noFill/>
                    <a:ln>
                      <a:noFill/>
                    </a:ln>
                  </pic:spPr>
                </pic:pic>
              </a:graphicData>
            </a:graphic>
          </wp:inline>
        </w:drawing>
      </w:r>
    </w:p>
    <w:p>
      <w:pPr>
        <w:ind w:firstLineChars="0"/>
        <w:jc w:val="center"/>
      </w:pPr>
      <w:r>
        <w:rPr>
          <w:rFonts w:hint="eastAsia"/>
        </w:rPr>
        <w:t>20</w:t>
      </w:r>
      <w:r>
        <w:rPr>
          <w:rFonts w:hint="eastAsia"/>
          <w:lang w:val="en-US" w:eastAsia="zh-CN"/>
        </w:rPr>
        <w:t>18</w:t>
      </w:r>
      <w:r>
        <w:rPr>
          <w:rFonts w:hint="eastAsia"/>
        </w:rPr>
        <w:t>年</w:t>
      </w:r>
      <w:r>
        <w:rPr>
          <w:rFonts w:hint="eastAsia"/>
          <w:lang w:val="en-US" w:eastAsia="zh-CN"/>
        </w:rPr>
        <w:t>11</w:t>
      </w:r>
      <w:r>
        <w:rPr>
          <w:rFonts w:hint="eastAsia"/>
        </w:rPr>
        <w:t>月</w:t>
      </w:r>
    </w:p>
    <w:p>
      <w:pPr>
        <w:widowControl/>
        <w:spacing w:line="240" w:lineRule="auto"/>
        <w:ind w:firstLine="0" w:firstLineChars="0"/>
      </w:pPr>
      <w:r>
        <w:br w:type="page"/>
      </w:r>
    </w:p>
    <w:p>
      <w:pPr>
        <w:ind w:left="0" w:leftChars="0" w:firstLine="0" w:firstLineChars="0"/>
      </w:pPr>
    </w:p>
    <w:p>
      <w:pPr>
        <w:pStyle w:val="2"/>
        <w:rPr>
          <w:rFonts w:hint="eastAsia"/>
          <w:lang w:val="en-US" w:eastAsia="zh-CN"/>
        </w:rPr>
      </w:pPr>
      <w:bookmarkStart w:id="0" w:name="_Toc12843_WPSOffice_Level1"/>
      <w:r>
        <w:rPr>
          <w:rFonts w:hint="eastAsia"/>
          <w:lang w:val="en-US" w:eastAsia="zh-CN"/>
        </w:rPr>
        <w:t>用户需求</w:t>
      </w:r>
      <w:bookmarkEnd w:id="0"/>
    </w:p>
    <w:p>
      <w:pPr>
        <w:ind w:firstLine="560" w:firstLineChars="200"/>
        <w:rPr>
          <w:rFonts w:hint="eastAsia"/>
          <w:sz w:val="28"/>
          <w:szCs w:val="28"/>
          <w:vertAlign w:val="baseline"/>
          <w:lang w:val="en-US" w:eastAsia="zh-CN"/>
        </w:rPr>
      </w:pPr>
      <w:r>
        <w:rPr>
          <w:rFonts w:hint="eastAsia"/>
          <w:sz w:val="28"/>
          <w:szCs w:val="28"/>
          <w:vertAlign w:val="baseline"/>
          <w:lang w:val="en-US" w:eastAsia="zh-CN"/>
        </w:rPr>
        <w:t>因为现在河北地区针对于个人所得税的征收抓的很严，而车险返佣属于个税征缴范围，绝大多数情况下业务员拿到的不是所有的佣金（有时甚至拿不到佣金的20%）而是返给了车主，这时如果申报个税的时候还是将所有的佣金算作业务员的收入就不合理了，应该由真实收到佣金的情况分开计税，所以需要增加汇总结算功能，可以按时间区间来查询业务员与结算单内的礼品支付人的佣金总额，用以真实缴纳个人所得税。业务员的佣金总额是其在系统内所对应的所有结算单的实结费用总额；礼品支付人的佣金总额为其在系统内存在的礼品价值总额。</w:t>
      </w:r>
    </w:p>
    <w:p>
      <w:pPr>
        <w:ind w:firstLine="560" w:firstLineChars="200"/>
        <w:rPr>
          <w:rFonts w:hint="eastAsia"/>
          <w:sz w:val="28"/>
          <w:szCs w:val="28"/>
          <w:vertAlign w:val="baseline"/>
          <w:lang w:val="en-US" w:eastAsia="zh-CN"/>
        </w:rPr>
      </w:pPr>
      <w:r>
        <w:rPr>
          <w:rFonts w:hint="eastAsia"/>
          <w:sz w:val="28"/>
          <w:szCs w:val="28"/>
          <w:vertAlign w:val="baseline"/>
          <w:lang w:val="en-US" w:eastAsia="zh-CN"/>
        </w:rPr>
        <w:t>另外如果客户同时还在使用寿险系统，也需要在佣金总额中增加业务员所对应的寿险基本法发放。</w:t>
      </w:r>
    </w:p>
    <w:p>
      <w:pPr>
        <w:pStyle w:val="2"/>
        <w:rPr>
          <w:rFonts w:hint="eastAsia"/>
          <w:lang w:val="en-US" w:eastAsia="zh-CN"/>
        </w:rPr>
      </w:pPr>
      <w:bookmarkStart w:id="1" w:name="_Toc29975_WPSOffice_Level1"/>
      <w:r>
        <w:rPr>
          <w:rFonts w:hint="eastAsia"/>
          <w:lang w:val="en-US" w:eastAsia="zh-CN"/>
        </w:rPr>
        <w:t>软件需求实现</w:t>
      </w:r>
      <w:bookmarkEnd w:id="1"/>
    </w:p>
    <w:p>
      <w:pPr>
        <w:pStyle w:val="3"/>
        <w:rPr>
          <w:rFonts w:hint="eastAsia"/>
          <w:lang w:val="en-US" w:eastAsia="zh-CN"/>
        </w:rPr>
      </w:pPr>
      <w:r>
        <w:rPr>
          <w:rFonts w:hint="eastAsia"/>
          <w:lang w:val="en-US" w:eastAsia="zh-CN"/>
        </w:rPr>
        <w:t>汇总结算列表</w:t>
      </w:r>
    </w:p>
    <w:p>
      <w:pPr>
        <w:ind w:firstLine="560" w:firstLineChars="200"/>
        <w:rPr>
          <w:rFonts w:hint="eastAsia"/>
          <w:sz w:val="28"/>
          <w:szCs w:val="28"/>
          <w:lang w:val="en-US" w:eastAsia="zh-CN"/>
        </w:rPr>
      </w:pPr>
      <w:r>
        <w:rPr>
          <w:rFonts w:hint="eastAsia"/>
          <w:sz w:val="28"/>
          <w:szCs w:val="28"/>
          <w:lang w:val="en-US" w:eastAsia="zh-CN"/>
        </w:rPr>
        <w:t>以机构名称、业务员或现金礼品支付人、时间区间（车险为结算单签单日期，寿险为结算月，仅能按月查询）作为查询条件，以二维表的形式体现业务员或礼品支付人的姓名、手机号、身份证号、开户行、银行卡号、开户名、财险单数（当前查询条件内所有的车险、非车等结算单数总和）、汇总金额、个税金额、寿险费用汇总。需要在查询条件处增加调整显示列按钮来控制想要显示的信息。在列表最左侧还应该增加“选择”列可以让用户勾选查询结果中的一条数据。</w:t>
      </w:r>
    </w:p>
    <w:p>
      <w:pPr>
        <w:ind w:firstLine="560" w:firstLineChars="200"/>
        <w:rPr>
          <w:rFonts w:hint="eastAsia"/>
          <w:sz w:val="28"/>
          <w:szCs w:val="28"/>
          <w:lang w:val="en-US" w:eastAsia="zh-CN"/>
        </w:rPr>
      </w:pPr>
      <w:r>
        <w:rPr>
          <w:rFonts w:hint="eastAsia"/>
          <w:sz w:val="28"/>
          <w:szCs w:val="28"/>
          <w:lang w:val="en-US" w:eastAsia="zh-CN"/>
        </w:rPr>
        <w:t>具体详情见《汇总结算参考页面》。</w:t>
      </w:r>
    </w:p>
    <w:p>
      <w:pPr>
        <w:pStyle w:val="3"/>
        <w:rPr>
          <w:rFonts w:hint="eastAsia"/>
          <w:lang w:val="en-US" w:eastAsia="zh-CN"/>
        </w:rPr>
      </w:pPr>
      <w:r>
        <w:rPr>
          <w:rFonts w:hint="eastAsia"/>
          <w:sz w:val="28"/>
          <w:szCs w:val="28"/>
          <w:lang w:val="en-US" w:eastAsia="zh-CN"/>
        </w:rPr>
        <w:t>汇总结算</w:t>
      </w:r>
      <w:r>
        <w:rPr>
          <w:rFonts w:hint="eastAsia"/>
          <w:lang w:val="en-US" w:eastAsia="zh-CN"/>
        </w:rPr>
        <w:t>详情</w:t>
      </w:r>
    </w:p>
    <w:p>
      <w:pPr>
        <w:ind w:firstLine="560" w:firstLineChars="200"/>
        <w:rPr>
          <w:rFonts w:hint="eastAsia"/>
          <w:b w:val="0"/>
          <w:bCs w:val="0"/>
          <w:sz w:val="28"/>
          <w:szCs w:val="28"/>
          <w:vertAlign w:val="baseline"/>
          <w:lang w:val="en-US" w:eastAsia="zh-CN"/>
        </w:rPr>
      </w:pPr>
      <w:r>
        <w:rPr>
          <w:rFonts w:hint="eastAsia"/>
          <w:b w:val="0"/>
          <w:bCs w:val="0"/>
          <w:sz w:val="28"/>
          <w:szCs w:val="28"/>
          <w:vertAlign w:val="baseline"/>
          <w:lang w:val="en-US" w:eastAsia="zh-CN"/>
        </w:rPr>
        <w:t>在详情页面展示刚刚在查询页面展示的数据。并且还需要详细列出所有当前业务员或礼品支付人具体结算单详情，包括：保单号、车牌号、车架号、签单日期、险种、保险公司、银行卡号、开户名、开户行、保费、业务内勤、结算金额（如果客户类别为业务员则金额为应结费用，如果是礼品支付人则金额为礼品价值）、结算状态</w:t>
      </w:r>
      <w:bookmarkStart w:id="2" w:name="_GoBack"/>
      <w:bookmarkEnd w:id="2"/>
      <w:r>
        <w:rPr>
          <w:rFonts w:hint="eastAsia"/>
          <w:b w:val="0"/>
          <w:bCs w:val="0"/>
          <w:sz w:val="28"/>
          <w:szCs w:val="28"/>
          <w:vertAlign w:val="baseline"/>
          <w:lang w:val="en-US" w:eastAsia="zh-CN"/>
        </w:rPr>
        <w:t>，并且支持点击对应保单号跳转到保单号所对应的结算单详情。在当前页面也需要增加调整显示列来控制想要显示的结算单信息。</w:t>
      </w:r>
    </w:p>
    <w:p>
      <w:pPr>
        <w:ind w:firstLine="560" w:firstLineChars="200"/>
        <w:rPr>
          <w:rFonts w:hint="eastAsia"/>
          <w:b w:val="0"/>
          <w:bCs w:val="0"/>
          <w:sz w:val="28"/>
          <w:szCs w:val="28"/>
          <w:vertAlign w:val="baseline"/>
          <w:lang w:val="en-US" w:eastAsia="zh-CN"/>
        </w:rPr>
      </w:pPr>
      <w:r>
        <w:rPr>
          <w:rFonts w:hint="eastAsia"/>
          <w:b w:val="0"/>
          <w:bCs w:val="0"/>
          <w:sz w:val="28"/>
          <w:szCs w:val="28"/>
          <w:vertAlign w:val="baseline"/>
          <w:lang w:val="en-US" w:eastAsia="zh-CN"/>
        </w:rPr>
        <w:t>若业务员为寿险基本法人员，则在详情页面下方应该增加寿险汇总信息，汇总信息包括：身份证号、员工性质、开户银行、行号、银行卡号、费用合计、结算状态。结算状态只有全部提交到“已核准”状态在汇总结算页面才应该显示为已核准，部分核准或全部未核准则显示“未核准完成”。</w:t>
      </w:r>
    </w:p>
    <w:p>
      <w:pPr>
        <w:ind w:firstLine="560" w:firstLineChars="200"/>
        <w:rPr>
          <w:rFonts w:hint="eastAsia"/>
          <w:b w:val="0"/>
          <w:bCs w:val="0"/>
          <w:sz w:val="28"/>
          <w:szCs w:val="28"/>
          <w:vertAlign w:val="baseline"/>
          <w:lang w:val="en-US" w:eastAsia="zh-CN"/>
        </w:rPr>
      </w:pPr>
      <w:r>
        <w:rPr>
          <w:rFonts w:hint="eastAsia"/>
          <w:b w:val="0"/>
          <w:bCs w:val="0"/>
          <w:sz w:val="28"/>
          <w:szCs w:val="28"/>
          <w:vertAlign w:val="baseline"/>
          <w:lang w:val="en-US" w:eastAsia="zh-CN"/>
        </w:rPr>
        <w:t>若非基本法人员则隐藏寿险汇总信息。</w:t>
      </w:r>
    </w:p>
    <w:p>
      <w:pPr>
        <w:ind w:firstLine="560" w:firstLineChars="200"/>
        <w:rPr>
          <w:rFonts w:hint="eastAsia"/>
          <w:sz w:val="28"/>
          <w:szCs w:val="28"/>
          <w:lang w:val="en-US" w:eastAsia="zh-CN"/>
        </w:rPr>
      </w:pPr>
      <w:r>
        <w:rPr>
          <w:rFonts w:hint="eastAsia"/>
          <w:sz w:val="28"/>
          <w:szCs w:val="28"/>
          <w:lang w:val="en-US" w:eastAsia="zh-CN"/>
        </w:rPr>
        <w:t>具体详情见《汇总结算参考页面》。</w:t>
      </w:r>
    </w:p>
    <w:p>
      <w:pPr>
        <w:pStyle w:val="3"/>
        <w:rPr>
          <w:rFonts w:hint="eastAsia"/>
          <w:lang w:val="en-US" w:eastAsia="zh-CN"/>
        </w:rPr>
      </w:pPr>
      <w:r>
        <w:rPr>
          <w:rFonts w:hint="eastAsia"/>
          <w:lang w:val="en-US" w:eastAsia="zh-CN"/>
        </w:rPr>
        <w:t>汇总结算导出</w:t>
      </w:r>
    </w:p>
    <w:p>
      <w:pPr>
        <w:numPr>
          <w:ilvl w:val="0"/>
          <w:numId w:val="5"/>
        </w:numPr>
        <w:ind w:left="0" w:leftChars="0" w:firstLine="0" w:firstLineChars="0"/>
        <w:rPr>
          <w:rFonts w:hint="eastAsia"/>
          <w:b w:val="0"/>
          <w:bCs w:val="0"/>
          <w:sz w:val="28"/>
          <w:szCs w:val="28"/>
          <w:lang w:val="en-US" w:eastAsia="zh-CN"/>
        </w:rPr>
      </w:pPr>
      <w:r>
        <w:rPr>
          <w:rFonts w:hint="eastAsia"/>
          <w:b w:val="0"/>
          <w:bCs w:val="0"/>
          <w:sz w:val="28"/>
          <w:szCs w:val="28"/>
          <w:lang w:val="en-US" w:eastAsia="zh-CN"/>
        </w:rPr>
        <w:t>在汇总结算详情页面增加导出Excel按键，可以把当前业务员或礼品支付人的个税详情通过Excel表的形式导出。（就是当前查询到的所有结算单数据）</w:t>
      </w:r>
    </w:p>
    <w:p>
      <w:pPr>
        <w:numPr>
          <w:ilvl w:val="0"/>
          <w:numId w:val="0"/>
        </w:numPr>
        <w:ind w:leftChars="0"/>
        <w:rPr>
          <w:rFonts w:hint="eastAsia"/>
          <w:b w:val="0"/>
          <w:bCs w:val="0"/>
          <w:sz w:val="28"/>
          <w:szCs w:val="28"/>
          <w:lang w:val="en-US" w:eastAsia="zh-CN"/>
        </w:rPr>
      </w:pPr>
    </w:p>
    <w:p>
      <w:pPr>
        <w:numPr>
          <w:ilvl w:val="0"/>
          <w:numId w:val="5"/>
        </w:numPr>
        <w:ind w:left="0" w:leftChars="0" w:firstLine="0" w:firstLineChars="0"/>
        <w:rPr>
          <w:rFonts w:hint="eastAsia"/>
          <w:b w:val="0"/>
          <w:bCs w:val="0"/>
          <w:sz w:val="28"/>
          <w:szCs w:val="28"/>
          <w:lang w:val="en-US" w:eastAsia="zh-CN"/>
        </w:rPr>
      </w:pPr>
      <w:r>
        <w:rPr>
          <w:rFonts w:hint="eastAsia"/>
          <w:b w:val="0"/>
          <w:bCs w:val="0"/>
          <w:sz w:val="28"/>
          <w:szCs w:val="28"/>
          <w:lang w:val="en-US" w:eastAsia="zh-CN"/>
        </w:rPr>
        <w:t>在汇总结算查询页面增加导出Excel按键与导出个人Excel按键。</w:t>
      </w:r>
    </w:p>
    <w:p>
      <w:pPr>
        <w:ind w:left="0" w:leftChars="0" w:firstLine="0" w:firstLineChars="0"/>
        <w:rPr>
          <w:rFonts w:hint="eastAsia"/>
          <w:b w:val="0"/>
          <w:bCs w:val="0"/>
          <w:sz w:val="28"/>
          <w:szCs w:val="28"/>
          <w:lang w:val="en-US" w:eastAsia="zh-CN"/>
        </w:rPr>
      </w:pPr>
      <w:r>
        <w:rPr>
          <w:rFonts w:hint="eastAsia"/>
          <w:b w:val="0"/>
          <w:bCs w:val="0"/>
          <w:sz w:val="28"/>
          <w:szCs w:val="28"/>
          <w:lang w:val="en-US" w:eastAsia="zh-CN"/>
        </w:rPr>
        <w:t>导出Excel按键：将汇总结算查询页面所展示的数据通过二维表的形式体现到Excel表中。</w:t>
      </w:r>
    </w:p>
    <w:p>
      <w:pPr>
        <w:ind w:left="0" w:leftChars="0" w:firstLine="0" w:firstLineChars="0"/>
        <w:rPr>
          <w:rFonts w:hint="eastAsia"/>
          <w:b w:val="0"/>
          <w:bCs w:val="0"/>
          <w:sz w:val="28"/>
          <w:szCs w:val="28"/>
          <w:lang w:val="en-US" w:eastAsia="zh-CN"/>
        </w:rPr>
      </w:pPr>
      <w:r>
        <w:rPr>
          <w:rFonts w:hint="eastAsia"/>
          <w:b w:val="0"/>
          <w:bCs w:val="0"/>
          <w:sz w:val="28"/>
          <w:szCs w:val="28"/>
          <w:lang w:val="en-US" w:eastAsia="zh-CN"/>
        </w:rPr>
        <w:t>导出个人Excel按键：在汇总结算查询页面勾选选择后（同时只能勾选一条数据，如果用户同时勾选了两条数据则弹窗提示）导出当前业务员或礼品支付人的汇总结算详情Excel。</w:t>
      </w:r>
    </w:p>
    <w:p>
      <w:pPr>
        <w:ind w:left="0" w:leftChars="0" w:firstLine="560" w:firstLineChars="200"/>
        <w:rPr>
          <w:rFonts w:hint="eastAsia"/>
          <w:b w:val="0"/>
          <w:bCs w:val="0"/>
          <w:sz w:val="28"/>
          <w:szCs w:val="28"/>
          <w:lang w:val="en-US" w:eastAsia="zh-CN"/>
        </w:rPr>
      </w:pPr>
      <w:r>
        <w:rPr>
          <w:rFonts w:hint="eastAsia"/>
          <w:b w:val="0"/>
          <w:bCs w:val="0"/>
          <w:sz w:val="28"/>
          <w:szCs w:val="28"/>
          <w:lang w:val="en-US" w:eastAsia="zh-CN"/>
        </w:rPr>
        <w:t>需要注意导出时不考虑寿险，寿险工资明细应该在寿险系统进行导出。</w:t>
      </w:r>
    </w:p>
    <w:p>
      <w:pPr>
        <w:ind w:firstLine="560" w:firstLineChars="200"/>
        <w:rPr>
          <w:rFonts w:hint="eastAsia"/>
          <w:b w:val="0"/>
          <w:bCs w:val="0"/>
          <w:sz w:val="28"/>
          <w:szCs w:val="28"/>
          <w:lang w:val="en-US" w:eastAsia="zh-CN"/>
        </w:rPr>
      </w:pPr>
      <w:r>
        <w:rPr>
          <w:rFonts w:hint="eastAsia"/>
          <w:sz w:val="28"/>
          <w:szCs w:val="28"/>
          <w:lang w:val="en-US" w:eastAsia="zh-CN"/>
        </w:rPr>
        <w:t>具体详情见《汇总结算参考页面》。</w:t>
      </w:r>
    </w:p>
    <w:p>
      <w:pPr>
        <w:pStyle w:val="3"/>
        <w:rPr>
          <w:rFonts w:hint="eastAsia"/>
          <w:lang w:val="en-US" w:eastAsia="zh-CN"/>
        </w:rPr>
      </w:pPr>
      <w:r>
        <w:rPr>
          <w:rFonts w:hint="eastAsia"/>
          <w:lang w:val="en-US" w:eastAsia="zh-CN"/>
        </w:rPr>
        <w:t>结算单页面</w:t>
      </w:r>
    </w:p>
    <w:p>
      <w:pPr>
        <w:ind w:firstLine="560" w:firstLineChars="200"/>
        <w:rPr>
          <w:rFonts w:hint="eastAsia"/>
          <w:sz w:val="28"/>
          <w:szCs w:val="28"/>
          <w:lang w:val="en-US" w:eastAsia="zh-CN"/>
        </w:rPr>
      </w:pPr>
      <w:r>
        <w:rPr>
          <w:rFonts w:hint="eastAsia"/>
          <w:sz w:val="28"/>
          <w:szCs w:val="28"/>
          <w:lang w:val="en-US" w:eastAsia="zh-CN"/>
        </w:rPr>
        <w:t>为了实现礼品支付人的个税统计，所以需要在结算单详情页面增加礼品信息备注按钮，并在结算单页面显示备注的礼品支付人姓名。点击按钮后，弹窗让用户输入备注内容，备注内容包括姓名、开户行、开户名、银行卡号、身份证、手机号，输入完成后点击保存。为了保证每条数据的唯一性，所以使用姓名+手机号作为匹配条件。</w:t>
      </w:r>
    </w:p>
    <w:p>
      <w:pPr>
        <w:ind w:firstLine="560" w:firstLineChars="200"/>
        <w:rPr>
          <w:rFonts w:hint="eastAsia"/>
          <w:sz w:val="28"/>
          <w:szCs w:val="28"/>
          <w:lang w:val="en-US" w:eastAsia="zh-CN"/>
        </w:rPr>
      </w:pPr>
      <w:r>
        <w:rPr>
          <w:rFonts w:hint="eastAsia"/>
          <w:sz w:val="28"/>
          <w:szCs w:val="28"/>
          <w:lang w:val="en-US" w:eastAsia="zh-CN"/>
        </w:rPr>
        <w:t>系统应自动保存已经录入过的礼品支付人信息，当用户输入完姓名后，在姓名右侧点击查询按键，可以查询出对应的礼品支付人信息。如果出现重名的情况，则显示姓名加手机号让用户选择要自动带出的信息。</w:t>
      </w:r>
    </w:p>
    <w:p>
      <w:pPr>
        <w:ind w:left="0" w:leftChars="0" w:firstLine="560" w:firstLineChars="200"/>
        <w:rPr>
          <w:rFonts w:hint="eastAsia"/>
          <w:sz w:val="28"/>
          <w:szCs w:val="28"/>
          <w:lang w:val="en-US" w:eastAsia="zh-CN"/>
        </w:rPr>
      </w:pPr>
      <w:r>
        <w:rPr>
          <w:rFonts w:hint="eastAsia"/>
          <w:sz w:val="28"/>
          <w:szCs w:val="28"/>
          <w:lang w:val="en-US" w:eastAsia="zh-CN"/>
        </w:rPr>
        <w:t>还需要在结算单列表页面增加一个按钮，可以对勾选的结算单直接在列表页面更改礼品信息备注。</w:t>
      </w:r>
    </w:p>
    <w:p>
      <w:pPr>
        <w:ind w:firstLine="560" w:firstLineChars="200"/>
        <w:rPr>
          <w:rFonts w:hint="eastAsia"/>
          <w:sz w:val="28"/>
          <w:szCs w:val="28"/>
          <w:lang w:val="en-US" w:eastAsia="zh-CN"/>
        </w:rPr>
      </w:pPr>
      <w:r>
        <w:rPr>
          <w:rFonts w:hint="eastAsia"/>
          <w:sz w:val="28"/>
          <w:szCs w:val="28"/>
          <w:lang w:val="en-US" w:eastAsia="zh-CN"/>
        </w:rPr>
        <w:t>具体详情见《汇总结算参考页面》。</w:t>
      </w:r>
    </w:p>
    <w:p>
      <w:pPr>
        <w:pStyle w:val="3"/>
        <w:rPr>
          <w:rFonts w:hint="eastAsia"/>
          <w:lang w:val="en-US" w:eastAsia="zh-CN"/>
        </w:rPr>
      </w:pPr>
      <w:r>
        <w:rPr>
          <w:rFonts w:hint="eastAsia"/>
          <w:lang w:val="en-US" w:eastAsia="zh-CN"/>
        </w:rPr>
        <w:t>个税算法</w:t>
      </w:r>
    </w:p>
    <w:p>
      <w:pPr>
        <w:ind w:left="0" w:leftChars="0" w:firstLine="560" w:firstLineChars="200"/>
        <w:rPr>
          <w:rFonts w:hint="eastAsia"/>
          <w:sz w:val="28"/>
          <w:szCs w:val="28"/>
          <w:lang w:val="en-US" w:eastAsia="zh-CN"/>
        </w:rPr>
      </w:pPr>
      <w:r>
        <w:rPr>
          <w:rFonts w:hint="eastAsia"/>
          <w:sz w:val="28"/>
          <w:szCs w:val="28"/>
          <w:lang w:val="en-US" w:eastAsia="zh-CN"/>
        </w:rPr>
        <w:t>工资个税的计算公式为：</w:t>
      </w:r>
    </w:p>
    <w:p>
      <w:pPr>
        <w:ind w:left="0" w:leftChars="0" w:firstLine="560" w:firstLineChars="200"/>
        <w:rPr>
          <w:rFonts w:hint="eastAsia"/>
          <w:sz w:val="28"/>
          <w:szCs w:val="28"/>
          <w:lang w:val="en-US" w:eastAsia="zh-CN"/>
        </w:rPr>
      </w:pPr>
      <w:r>
        <w:rPr>
          <w:rFonts w:hint="eastAsia"/>
          <w:sz w:val="28"/>
          <w:szCs w:val="28"/>
          <w:lang w:val="en-US" w:eastAsia="zh-CN"/>
        </w:rPr>
        <w:t>应纳税额 = 应结费用×适用税率－速算扣除数</w:t>
      </w:r>
    </w:p>
    <w:p>
      <w:pPr>
        <w:ind w:left="0" w:leftChars="0" w:firstLine="0" w:firstLineChars="0"/>
        <w:jc w:val="both"/>
        <w:rPr>
          <w:rFonts w:hint="eastAsia"/>
          <w:sz w:val="28"/>
          <w:szCs w:val="28"/>
          <w:lang w:val="en-US" w:eastAsia="zh-CN"/>
        </w:rPr>
      </w:pPr>
      <w:r>
        <w:rPr>
          <w:rFonts w:ascii="宋体" w:hAnsi="宋体" w:eastAsia="宋体" w:cs="宋体"/>
          <w:sz w:val="24"/>
          <w:szCs w:val="24"/>
        </w:rPr>
        <w:drawing>
          <wp:inline distT="0" distB="0" distL="114300" distR="114300">
            <wp:extent cx="5166360" cy="1558290"/>
            <wp:effectExtent l="0" t="0" r="15240" b="381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1"/>
                    <a:stretch>
                      <a:fillRect/>
                    </a:stretch>
                  </pic:blipFill>
                  <pic:spPr>
                    <a:xfrm>
                      <a:off x="0" y="0"/>
                      <a:ext cx="5166360" cy="1558290"/>
                    </a:xfrm>
                    <a:prstGeom prst="rect">
                      <a:avLst/>
                    </a:prstGeom>
                    <a:noFill/>
                    <a:ln w="9525">
                      <a:noFill/>
                    </a:ln>
                  </pic:spPr>
                </pic:pic>
              </a:graphicData>
            </a:graphic>
          </wp:inline>
        </w:drawing>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90" w:beforeAutospacing="0" w:after="0" w:afterAutospacing="0" w:line="360" w:lineRule="atLeast"/>
        <w:ind w:left="0" w:right="0" w:firstLine="0"/>
        <w:jc w:val="both"/>
        <w:rPr>
          <w:rFonts w:hint="eastAsia" w:eastAsia="华文仿宋" w:asciiTheme="minorHAnsi" w:hAnsiTheme="minorHAnsi" w:cstheme="minorBidi"/>
          <w:kern w:val="2"/>
          <w:sz w:val="28"/>
          <w:szCs w:val="28"/>
          <w:lang w:val="en-US" w:eastAsia="zh-CN" w:bidi="ar-SA"/>
        </w:rPr>
      </w:pPr>
      <w:r>
        <w:rPr>
          <w:rFonts w:hint="default" w:eastAsia="华文仿宋" w:asciiTheme="minorHAnsi" w:hAnsiTheme="minorHAnsi" w:cstheme="minorBidi"/>
          <w:kern w:val="2"/>
          <w:sz w:val="28"/>
          <w:szCs w:val="28"/>
          <w:lang w:val="en-US" w:eastAsia="zh-CN" w:bidi="ar-SA"/>
        </w:rPr>
        <w:t>如果某人的工资扣除五险一金为12000元，他应纳个人所得税区间为12000-5000=7000元</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eastAsia="华文仿宋" w:asciiTheme="minorHAnsi" w:hAnsiTheme="minorHAnsi" w:cstheme="minorBidi"/>
          <w:kern w:val="2"/>
          <w:sz w:val="28"/>
          <w:szCs w:val="28"/>
          <w:lang w:val="en-US" w:eastAsia="zh-CN" w:bidi="ar-SA"/>
        </w:rPr>
      </w:pPr>
      <w:r>
        <w:rPr>
          <w:rFonts w:hint="default" w:eastAsia="华文仿宋" w:asciiTheme="minorHAnsi" w:hAnsiTheme="minorHAnsi" w:cstheme="minorBidi"/>
          <w:kern w:val="2"/>
          <w:sz w:val="28"/>
          <w:szCs w:val="28"/>
          <w:lang w:val="en-US" w:eastAsia="zh-CN" w:bidi="ar-SA"/>
        </w:rPr>
        <w:t>应缴纳税金为：7000*10%-210=490元</w:t>
      </w:r>
    </w:p>
    <w:p>
      <w:pPr>
        <w:ind w:firstLine="560" w:firstLineChars="200"/>
        <w:rPr>
          <w:rFonts w:hint="eastAsia"/>
          <w:sz w:val="28"/>
          <w:szCs w:val="28"/>
          <w:lang w:val="en-US" w:eastAsia="zh-CN"/>
        </w:rPr>
      </w:pPr>
    </w:p>
    <w:p>
      <w:pPr>
        <w:ind w:left="0" w:leftChars="0" w:firstLine="0" w:firstLineChars="0"/>
        <w:rPr>
          <w:rFonts w:hint="eastAsia"/>
          <w:b/>
          <w:bCs/>
          <w:sz w:val="28"/>
          <w:szCs w:val="28"/>
          <w:lang w:val="en-US" w:eastAsia="zh-CN"/>
        </w:rPr>
      </w:pPr>
      <w:r>
        <w:rPr>
          <w:rFonts w:hint="eastAsia"/>
          <w:b/>
          <w:bCs/>
          <w:sz w:val="28"/>
          <w:szCs w:val="28"/>
          <w:lang w:val="en-US" w:eastAsia="zh-CN"/>
        </w:rPr>
        <w:t>注意：</w:t>
      </w:r>
    </w:p>
    <w:p>
      <w:pPr>
        <w:ind w:left="0" w:leftChars="0" w:firstLine="420" w:firstLineChars="0"/>
        <w:rPr>
          <w:rFonts w:hint="eastAsia"/>
          <w:sz w:val="28"/>
          <w:szCs w:val="28"/>
          <w:lang w:val="en-US" w:eastAsia="zh-CN"/>
        </w:rPr>
      </w:pPr>
      <w:r>
        <w:rPr>
          <w:rFonts w:hint="eastAsia"/>
          <w:b/>
          <w:bCs/>
          <w:sz w:val="28"/>
          <w:szCs w:val="28"/>
          <w:lang w:val="en-US" w:eastAsia="zh-CN"/>
        </w:rPr>
        <w:t>“调整显示列”功能暂未实现，与本需求一同在三期计划内实现。</w:t>
      </w:r>
    </w:p>
    <w:sectPr>
      <w:headerReference r:id="rId5" w:type="first"/>
      <w:footerReference r:id="rId8" w:type="first"/>
      <w:headerReference r:id="rId3" w:type="default"/>
      <w:footerReference r:id="rId6" w:type="default"/>
      <w:headerReference r:id="rId4" w:type="even"/>
      <w:footerReference r:id="rId7" w:type="even"/>
      <w:pgSz w:w="11906" w:h="16838"/>
      <w:pgMar w:top="1036" w:right="1800" w:bottom="1440" w:left="1800" w:header="426" w:footer="804" w:gutter="0"/>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639359"/>
      <w:docPartObj>
        <w:docPartGallery w:val="autotext"/>
      </w:docPartObj>
    </w:sdtPr>
    <w:sdtContent>
      <w:sdt>
        <w:sdtPr>
          <w:id w:val="-122922291"/>
          <w:docPartObj>
            <w:docPartGallery w:val="autotext"/>
          </w:docPartObj>
        </w:sdtPr>
        <w:sdtContent>
          <w:p>
            <w:pPr>
              <w:pStyle w:val="13"/>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24</w:t>
            </w:r>
            <w:r>
              <w:rPr>
                <w:b/>
                <w:bCs/>
                <w:sz w:val="24"/>
                <w:szCs w:val="24"/>
              </w:rPr>
              <w:fldChar w:fldCharType="end"/>
            </w:r>
          </w:p>
        </w:sdtContent>
      </w:sdt>
    </w:sdtContent>
  </w:sdt>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0" w:firstLineChars="0"/>
      <w:jc w:val="left"/>
    </w:pPr>
    <w:r>
      <w:pict>
        <v:shape id="_x0000_s4098" o:spid="_x0000_s4098" o:spt="75" type="#_x0000_t75" style="position:absolute;left:0pt;height:113.65pt;width:415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单色-横"/>
          <o:lock v:ext="edit" aspectratio="t"/>
        </v:shape>
      </w:pict>
    </w:r>
    <w:r>
      <w:pict>
        <v:shape id="_x0000_s4099" o:spid="_x0000_s4099" o:spt="75" type="#_x0000_t75" style="position:absolute;left:0pt;height:106.75pt;width:389.8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2" gain="19661f" blacklevel="22938f" o:title="单色-横"/>
          <o:lock v:ext="edit" aspectratio="t"/>
        </v:shape>
      </w:pict>
    </w:r>
    <w:r>
      <w:drawing>
        <wp:inline distT="0" distB="0" distL="0" distR="0">
          <wp:extent cx="1844040" cy="416560"/>
          <wp:effectExtent l="0" t="0" r="3810" b="2540"/>
          <wp:docPr id="17" name="图片 17" descr="D:\01.Projects\CountInsurance\trunk\04.Document\03.功能设计\康特LOGO\JPG\0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D:\01.Projects\CountInsurance\trunk\04.Document\03.功能设计\康特LOGO\JPG\02-LOGO.jpg"/>
                  <pic:cNvPicPr>
                    <a:picLocks noChangeAspect="1" noChangeArrowheads="1"/>
                  </pic:cNvPicPr>
                </pic:nvPicPr>
                <pic:blipFill>
                  <a:blip r:embed="rId3">
                    <a:extLst>
                      <a:ext uri="{28A0092B-C50C-407E-A947-70E740481C1C}">
                        <a14:useLocalDpi xmlns:a14="http://schemas.microsoft.com/office/drawing/2010/main" val="0"/>
                      </a:ext>
                    </a:extLst>
                  </a:blip>
                  <a:srcRect b="17497"/>
                  <a:stretch>
                    <a:fillRect/>
                  </a:stretch>
                </pic:blipFill>
                <pic:spPr>
                  <a:xfrm>
                    <a:off x="0" y="0"/>
                    <a:ext cx="1864562" cy="421547"/>
                  </a:xfrm>
                  <a:prstGeom prst="rect">
                    <a:avLst/>
                  </a:prstGeom>
                  <a:noFill/>
                  <a:ln>
                    <a:noFill/>
                  </a:ln>
                </pic:spPr>
              </pic:pic>
            </a:graphicData>
          </a:graphic>
        </wp:inline>
      </w:drawing>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pict>
        <v:shape id="_x0000_s4100" o:spid="_x0000_s4100" o:spt="75" type="#_x0000_t75" style="position:absolute;left:0pt;height:113.65pt;width:415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单色-横"/>
          <o:lock v:ext="edit" aspectratio="t"/>
        </v:shape>
      </w:pict>
    </w:r>
    <w:r>
      <w:pict>
        <v:shape id="_x0000_s4101" o:spid="_x0000_s4101" o:spt="75" type="#_x0000_t75" style="position:absolute;left:0pt;height:106.75pt;width:389.8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2" gain="19661f" blacklevel="22938f" o:title="单色-横"/>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6" w:space="0"/>
      </w:pBdr>
      <w:ind w:firstLine="360"/>
    </w:pPr>
    <w:r>
      <w:pict>
        <v:shape id="WordPictureWatermark" o:spid="_x0000_s4097" o:spt="75" type="#_x0000_t75" style="position:absolute;left:0pt;height:113.65pt;width:41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单色-横"/>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5C7012"/>
    <w:multiLevelType w:val="singleLevel"/>
    <w:tmpl w:val="FF5C7012"/>
    <w:lvl w:ilvl="0" w:tentative="0">
      <w:start w:val="1"/>
      <w:numFmt w:val="decimal"/>
      <w:lvlText w:val="%1."/>
      <w:lvlJc w:val="left"/>
      <w:pPr>
        <w:tabs>
          <w:tab w:val="left" w:pos="312"/>
        </w:tabs>
      </w:pPr>
    </w:lvl>
  </w:abstractNum>
  <w:abstractNum w:abstractNumId="1">
    <w:nsid w:val="0A3666DF"/>
    <w:multiLevelType w:val="multilevel"/>
    <w:tmpl w:val="0A3666DF"/>
    <w:lvl w:ilvl="0" w:tentative="0">
      <w:start w:val="1"/>
      <w:numFmt w:val="bullet"/>
      <w:pStyle w:val="34"/>
      <w:lvlText w:val=""/>
      <w:lvlJc w:val="left"/>
      <w:pPr>
        <w:ind w:left="62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1AAE48E7"/>
    <w:multiLevelType w:val="multilevel"/>
    <w:tmpl w:val="1AAE48E7"/>
    <w:lvl w:ilvl="0" w:tentative="0">
      <w:start w:val="1"/>
      <w:numFmt w:val="decimal"/>
      <w:pStyle w:val="36"/>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521371E"/>
    <w:multiLevelType w:val="multilevel"/>
    <w:tmpl w:val="4521371E"/>
    <w:lvl w:ilvl="0" w:tentative="0">
      <w:start w:val="1"/>
      <w:numFmt w:val="bullet"/>
      <w:pStyle w:val="33"/>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5FCA01C7"/>
    <w:multiLevelType w:val="multilevel"/>
    <w:tmpl w:val="5FCA01C7"/>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B48"/>
    <w:rsid w:val="00010A29"/>
    <w:rsid w:val="00033238"/>
    <w:rsid w:val="000338CA"/>
    <w:rsid w:val="000365D3"/>
    <w:rsid w:val="00037FE9"/>
    <w:rsid w:val="00060889"/>
    <w:rsid w:val="0006125C"/>
    <w:rsid w:val="000911CB"/>
    <w:rsid w:val="000B15B5"/>
    <w:rsid w:val="000D4232"/>
    <w:rsid w:val="000F47FB"/>
    <w:rsid w:val="00116A3C"/>
    <w:rsid w:val="0013318F"/>
    <w:rsid w:val="0013666E"/>
    <w:rsid w:val="00137F0E"/>
    <w:rsid w:val="001549CB"/>
    <w:rsid w:val="00156D57"/>
    <w:rsid w:val="00156EE2"/>
    <w:rsid w:val="00167056"/>
    <w:rsid w:val="0017524D"/>
    <w:rsid w:val="00175859"/>
    <w:rsid w:val="00175D23"/>
    <w:rsid w:val="001A649D"/>
    <w:rsid w:val="001A65E3"/>
    <w:rsid w:val="001B02F1"/>
    <w:rsid w:val="001B265B"/>
    <w:rsid w:val="001B6B3E"/>
    <w:rsid w:val="001D2F3E"/>
    <w:rsid w:val="001D4FF1"/>
    <w:rsid w:val="001E2A3C"/>
    <w:rsid w:val="001E3BCF"/>
    <w:rsid w:val="001E79A6"/>
    <w:rsid w:val="002011B5"/>
    <w:rsid w:val="002043F0"/>
    <w:rsid w:val="00207741"/>
    <w:rsid w:val="00232248"/>
    <w:rsid w:val="00240294"/>
    <w:rsid w:val="0025059D"/>
    <w:rsid w:val="00253339"/>
    <w:rsid w:val="00260BD9"/>
    <w:rsid w:val="002755A5"/>
    <w:rsid w:val="00290D6D"/>
    <w:rsid w:val="002948CF"/>
    <w:rsid w:val="002A1520"/>
    <w:rsid w:val="002B7CA3"/>
    <w:rsid w:val="002C1A07"/>
    <w:rsid w:val="002D33C5"/>
    <w:rsid w:val="002F5AE6"/>
    <w:rsid w:val="002F7DFB"/>
    <w:rsid w:val="00302DC7"/>
    <w:rsid w:val="00304A39"/>
    <w:rsid w:val="00323D4E"/>
    <w:rsid w:val="00326CF5"/>
    <w:rsid w:val="00341973"/>
    <w:rsid w:val="00342139"/>
    <w:rsid w:val="00346261"/>
    <w:rsid w:val="00350CE8"/>
    <w:rsid w:val="0035122E"/>
    <w:rsid w:val="00370C14"/>
    <w:rsid w:val="00380A2E"/>
    <w:rsid w:val="00386CA4"/>
    <w:rsid w:val="00396AD5"/>
    <w:rsid w:val="003B2C5C"/>
    <w:rsid w:val="003B333E"/>
    <w:rsid w:val="003C2292"/>
    <w:rsid w:val="003E409A"/>
    <w:rsid w:val="003E6400"/>
    <w:rsid w:val="003E7C1A"/>
    <w:rsid w:val="003F7096"/>
    <w:rsid w:val="00407F3A"/>
    <w:rsid w:val="0041547E"/>
    <w:rsid w:val="00420EA8"/>
    <w:rsid w:val="00431545"/>
    <w:rsid w:val="00433031"/>
    <w:rsid w:val="00443C0F"/>
    <w:rsid w:val="00445136"/>
    <w:rsid w:val="00447F27"/>
    <w:rsid w:val="00450307"/>
    <w:rsid w:val="00457B37"/>
    <w:rsid w:val="004629DD"/>
    <w:rsid w:val="0048217F"/>
    <w:rsid w:val="00492974"/>
    <w:rsid w:val="0049725D"/>
    <w:rsid w:val="004A197F"/>
    <w:rsid w:val="004E1CCD"/>
    <w:rsid w:val="004E72A8"/>
    <w:rsid w:val="00503225"/>
    <w:rsid w:val="00506A80"/>
    <w:rsid w:val="0052354B"/>
    <w:rsid w:val="0052657F"/>
    <w:rsid w:val="00527652"/>
    <w:rsid w:val="00567C31"/>
    <w:rsid w:val="005904BD"/>
    <w:rsid w:val="00595A1D"/>
    <w:rsid w:val="005A69D7"/>
    <w:rsid w:val="005B208C"/>
    <w:rsid w:val="005B72D8"/>
    <w:rsid w:val="005B7AC6"/>
    <w:rsid w:val="005D54FD"/>
    <w:rsid w:val="005E7A26"/>
    <w:rsid w:val="005F00C1"/>
    <w:rsid w:val="006158DD"/>
    <w:rsid w:val="00652181"/>
    <w:rsid w:val="00664B6D"/>
    <w:rsid w:val="00676FBE"/>
    <w:rsid w:val="00692AA4"/>
    <w:rsid w:val="00694FFA"/>
    <w:rsid w:val="00696411"/>
    <w:rsid w:val="006A469A"/>
    <w:rsid w:val="006A55BC"/>
    <w:rsid w:val="006B41DE"/>
    <w:rsid w:val="006C12C7"/>
    <w:rsid w:val="006C5890"/>
    <w:rsid w:val="006C6AE5"/>
    <w:rsid w:val="006C7881"/>
    <w:rsid w:val="006D79A4"/>
    <w:rsid w:val="006E26D4"/>
    <w:rsid w:val="006E36AA"/>
    <w:rsid w:val="00704D36"/>
    <w:rsid w:val="007050CA"/>
    <w:rsid w:val="007052A2"/>
    <w:rsid w:val="007415F4"/>
    <w:rsid w:val="007468B5"/>
    <w:rsid w:val="00757421"/>
    <w:rsid w:val="00760B64"/>
    <w:rsid w:val="007658A8"/>
    <w:rsid w:val="007756A3"/>
    <w:rsid w:val="0077674E"/>
    <w:rsid w:val="007821F3"/>
    <w:rsid w:val="00782C65"/>
    <w:rsid w:val="0079070F"/>
    <w:rsid w:val="007A4145"/>
    <w:rsid w:val="007C4BD7"/>
    <w:rsid w:val="007D4F6D"/>
    <w:rsid w:val="007D5419"/>
    <w:rsid w:val="007F18F7"/>
    <w:rsid w:val="00813504"/>
    <w:rsid w:val="00821B48"/>
    <w:rsid w:val="0083044A"/>
    <w:rsid w:val="00876CBB"/>
    <w:rsid w:val="00876D87"/>
    <w:rsid w:val="008809D6"/>
    <w:rsid w:val="008868D6"/>
    <w:rsid w:val="00887A48"/>
    <w:rsid w:val="00891B91"/>
    <w:rsid w:val="00894180"/>
    <w:rsid w:val="008A094F"/>
    <w:rsid w:val="008A4A05"/>
    <w:rsid w:val="008A4EB1"/>
    <w:rsid w:val="008D0793"/>
    <w:rsid w:val="008D7871"/>
    <w:rsid w:val="008E1A05"/>
    <w:rsid w:val="008E3984"/>
    <w:rsid w:val="008F7E02"/>
    <w:rsid w:val="009000F0"/>
    <w:rsid w:val="0091564E"/>
    <w:rsid w:val="00931C1A"/>
    <w:rsid w:val="00934B0E"/>
    <w:rsid w:val="00935E73"/>
    <w:rsid w:val="009608D5"/>
    <w:rsid w:val="009639D2"/>
    <w:rsid w:val="0097655A"/>
    <w:rsid w:val="00982F67"/>
    <w:rsid w:val="00984D45"/>
    <w:rsid w:val="00990CC1"/>
    <w:rsid w:val="009941BE"/>
    <w:rsid w:val="009A0D53"/>
    <w:rsid w:val="009A18F4"/>
    <w:rsid w:val="009B0690"/>
    <w:rsid w:val="009D0A7D"/>
    <w:rsid w:val="009E6731"/>
    <w:rsid w:val="009E7EA5"/>
    <w:rsid w:val="00A21151"/>
    <w:rsid w:val="00A41A60"/>
    <w:rsid w:val="00A45172"/>
    <w:rsid w:val="00A47786"/>
    <w:rsid w:val="00A743B6"/>
    <w:rsid w:val="00A8097F"/>
    <w:rsid w:val="00A833F0"/>
    <w:rsid w:val="00A85D87"/>
    <w:rsid w:val="00A934AD"/>
    <w:rsid w:val="00A964E6"/>
    <w:rsid w:val="00A96C95"/>
    <w:rsid w:val="00AB0D1E"/>
    <w:rsid w:val="00AE4A4D"/>
    <w:rsid w:val="00AF4B46"/>
    <w:rsid w:val="00AF4B74"/>
    <w:rsid w:val="00B2452F"/>
    <w:rsid w:val="00B439A1"/>
    <w:rsid w:val="00B57758"/>
    <w:rsid w:val="00B60540"/>
    <w:rsid w:val="00B66E4C"/>
    <w:rsid w:val="00B71500"/>
    <w:rsid w:val="00B77F5C"/>
    <w:rsid w:val="00B92471"/>
    <w:rsid w:val="00B9439C"/>
    <w:rsid w:val="00BA45B9"/>
    <w:rsid w:val="00BA68DA"/>
    <w:rsid w:val="00BB43DD"/>
    <w:rsid w:val="00BC15E0"/>
    <w:rsid w:val="00BC36C6"/>
    <w:rsid w:val="00BD5D8E"/>
    <w:rsid w:val="00BE2E3A"/>
    <w:rsid w:val="00C02BDE"/>
    <w:rsid w:val="00C20073"/>
    <w:rsid w:val="00C42322"/>
    <w:rsid w:val="00C47316"/>
    <w:rsid w:val="00C537D5"/>
    <w:rsid w:val="00C61B20"/>
    <w:rsid w:val="00C61C8A"/>
    <w:rsid w:val="00C63FCA"/>
    <w:rsid w:val="00C6427C"/>
    <w:rsid w:val="00C66AFE"/>
    <w:rsid w:val="00C7764B"/>
    <w:rsid w:val="00C80236"/>
    <w:rsid w:val="00C86435"/>
    <w:rsid w:val="00C9028F"/>
    <w:rsid w:val="00CA0EC9"/>
    <w:rsid w:val="00CA2585"/>
    <w:rsid w:val="00CC6416"/>
    <w:rsid w:val="00CD28CC"/>
    <w:rsid w:val="00D16D2A"/>
    <w:rsid w:val="00D2704C"/>
    <w:rsid w:val="00D3494B"/>
    <w:rsid w:val="00D351CF"/>
    <w:rsid w:val="00D37558"/>
    <w:rsid w:val="00D454E6"/>
    <w:rsid w:val="00D56DE2"/>
    <w:rsid w:val="00D6255D"/>
    <w:rsid w:val="00D66B15"/>
    <w:rsid w:val="00D70B4D"/>
    <w:rsid w:val="00D775CE"/>
    <w:rsid w:val="00D92B40"/>
    <w:rsid w:val="00DA6D35"/>
    <w:rsid w:val="00DB5036"/>
    <w:rsid w:val="00DB52C9"/>
    <w:rsid w:val="00DC4C35"/>
    <w:rsid w:val="00DE17BE"/>
    <w:rsid w:val="00DF0BDC"/>
    <w:rsid w:val="00E1370E"/>
    <w:rsid w:val="00E21203"/>
    <w:rsid w:val="00E45397"/>
    <w:rsid w:val="00E53660"/>
    <w:rsid w:val="00E544DE"/>
    <w:rsid w:val="00EA4807"/>
    <w:rsid w:val="00EB1A0B"/>
    <w:rsid w:val="00EC22F7"/>
    <w:rsid w:val="00EC5C62"/>
    <w:rsid w:val="00ED6B17"/>
    <w:rsid w:val="00F065F4"/>
    <w:rsid w:val="00F14A28"/>
    <w:rsid w:val="00F314E7"/>
    <w:rsid w:val="00F41F0E"/>
    <w:rsid w:val="00F45DA4"/>
    <w:rsid w:val="00F62697"/>
    <w:rsid w:val="00F634EB"/>
    <w:rsid w:val="00F638B0"/>
    <w:rsid w:val="00F64CCE"/>
    <w:rsid w:val="00F65760"/>
    <w:rsid w:val="00F74F1E"/>
    <w:rsid w:val="00F82E8B"/>
    <w:rsid w:val="00F877D5"/>
    <w:rsid w:val="00FA3806"/>
    <w:rsid w:val="00FC2A6E"/>
    <w:rsid w:val="00FD4B87"/>
    <w:rsid w:val="00FD6FF5"/>
    <w:rsid w:val="00FE2800"/>
    <w:rsid w:val="00FF1DF0"/>
    <w:rsid w:val="00FF6AA8"/>
    <w:rsid w:val="01203191"/>
    <w:rsid w:val="01F75E82"/>
    <w:rsid w:val="02D92586"/>
    <w:rsid w:val="0400675F"/>
    <w:rsid w:val="07255410"/>
    <w:rsid w:val="073B2514"/>
    <w:rsid w:val="073E609E"/>
    <w:rsid w:val="074C1524"/>
    <w:rsid w:val="076C2628"/>
    <w:rsid w:val="07D11CAE"/>
    <w:rsid w:val="0A893361"/>
    <w:rsid w:val="0ABD00DC"/>
    <w:rsid w:val="0B1817A5"/>
    <w:rsid w:val="0BB85E91"/>
    <w:rsid w:val="0BC55B2F"/>
    <w:rsid w:val="0D0E4B12"/>
    <w:rsid w:val="0D3D43A7"/>
    <w:rsid w:val="0D79050D"/>
    <w:rsid w:val="12E611B1"/>
    <w:rsid w:val="134E3B68"/>
    <w:rsid w:val="13F01B70"/>
    <w:rsid w:val="17650CC5"/>
    <w:rsid w:val="18C026A2"/>
    <w:rsid w:val="1B7B1976"/>
    <w:rsid w:val="1C30144F"/>
    <w:rsid w:val="1C89325D"/>
    <w:rsid w:val="1CCA0057"/>
    <w:rsid w:val="1D132130"/>
    <w:rsid w:val="20DE0424"/>
    <w:rsid w:val="21FC12F2"/>
    <w:rsid w:val="238045FC"/>
    <w:rsid w:val="25526AC4"/>
    <w:rsid w:val="2776177E"/>
    <w:rsid w:val="28610ECF"/>
    <w:rsid w:val="290029E6"/>
    <w:rsid w:val="2CE704B9"/>
    <w:rsid w:val="2D62585A"/>
    <w:rsid w:val="2F69210C"/>
    <w:rsid w:val="37750BF1"/>
    <w:rsid w:val="378256C3"/>
    <w:rsid w:val="3B7A0BE0"/>
    <w:rsid w:val="3C35147A"/>
    <w:rsid w:val="3CA930B7"/>
    <w:rsid w:val="3FA15C03"/>
    <w:rsid w:val="415B59DD"/>
    <w:rsid w:val="42F060F9"/>
    <w:rsid w:val="44520649"/>
    <w:rsid w:val="44A11BB6"/>
    <w:rsid w:val="47714CF5"/>
    <w:rsid w:val="48E05F01"/>
    <w:rsid w:val="4A943936"/>
    <w:rsid w:val="4ABA3363"/>
    <w:rsid w:val="4F2E08A2"/>
    <w:rsid w:val="4F4C0906"/>
    <w:rsid w:val="50107ED0"/>
    <w:rsid w:val="503C38D0"/>
    <w:rsid w:val="50AC1FED"/>
    <w:rsid w:val="518654E3"/>
    <w:rsid w:val="519645E9"/>
    <w:rsid w:val="5305768A"/>
    <w:rsid w:val="5379623F"/>
    <w:rsid w:val="548E183D"/>
    <w:rsid w:val="54CF0597"/>
    <w:rsid w:val="55F5611B"/>
    <w:rsid w:val="56AC4E1C"/>
    <w:rsid w:val="5880138B"/>
    <w:rsid w:val="59A33430"/>
    <w:rsid w:val="5B2D16EF"/>
    <w:rsid w:val="5D5B5FCA"/>
    <w:rsid w:val="5E987C40"/>
    <w:rsid w:val="61B81A7E"/>
    <w:rsid w:val="621A485F"/>
    <w:rsid w:val="62727423"/>
    <w:rsid w:val="6288301A"/>
    <w:rsid w:val="64864223"/>
    <w:rsid w:val="6724673F"/>
    <w:rsid w:val="689D40EE"/>
    <w:rsid w:val="6A966749"/>
    <w:rsid w:val="6C016A27"/>
    <w:rsid w:val="6CEE45F6"/>
    <w:rsid w:val="6D26415F"/>
    <w:rsid w:val="6D9A0BDE"/>
    <w:rsid w:val="701641CC"/>
    <w:rsid w:val="70995C8F"/>
    <w:rsid w:val="72B331CE"/>
    <w:rsid w:val="73A958CA"/>
    <w:rsid w:val="75FA7025"/>
    <w:rsid w:val="78592834"/>
    <w:rsid w:val="792610C4"/>
    <w:rsid w:val="7ACE4B5D"/>
    <w:rsid w:val="7B657508"/>
    <w:rsid w:val="7CFE2727"/>
    <w:rsid w:val="7D047953"/>
    <w:rsid w:val="7DB33C89"/>
    <w:rsid w:val="7E5139D9"/>
    <w:rsid w:val="7FD54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eastAsia="华文仿宋" w:asciiTheme="minorHAnsi" w:hAnsiTheme="minorHAnsi" w:cstheme="minorBidi"/>
      <w:kern w:val="2"/>
      <w:sz w:val="24"/>
      <w:szCs w:val="22"/>
      <w:lang w:val="en-US" w:eastAsia="zh-CN" w:bidi="ar-SA"/>
    </w:rPr>
  </w:style>
  <w:style w:type="paragraph" w:styleId="2">
    <w:name w:val="heading 1"/>
    <w:basedOn w:val="1"/>
    <w:next w:val="1"/>
    <w:link w:val="23"/>
    <w:qFormat/>
    <w:uiPriority w:val="9"/>
    <w:pPr>
      <w:keepNext/>
      <w:keepLines/>
      <w:numPr>
        <w:ilvl w:val="0"/>
        <w:numId w:val="1"/>
      </w:numPr>
      <w:spacing w:before="340" w:after="330" w:line="578" w:lineRule="auto"/>
      <w:ind w:left="0" w:firstLine="0" w:firstLineChars="0"/>
      <w:outlineLvl w:val="0"/>
    </w:pPr>
    <w:rPr>
      <w:b/>
      <w:bCs/>
      <w:kern w:val="44"/>
      <w:sz w:val="32"/>
      <w:szCs w:val="44"/>
    </w:rPr>
  </w:style>
  <w:style w:type="paragraph" w:styleId="3">
    <w:name w:val="heading 2"/>
    <w:basedOn w:val="1"/>
    <w:next w:val="1"/>
    <w:link w:val="24"/>
    <w:unhideWhenUsed/>
    <w:qFormat/>
    <w:uiPriority w:val="9"/>
    <w:pPr>
      <w:keepNext/>
      <w:keepLines/>
      <w:numPr>
        <w:ilvl w:val="1"/>
        <w:numId w:val="1"/>
      </w:numPr>
      <w:spacing w:before="260" w:after="260" w:line="415" w:lineRule="auto"/>
      <w:ind w:left="0" w:hanging="200" w:hangingChars="200"/>
      <w:outlineLvl w:val="1"/>
    </w:pPr>
    <w:rPr>
      <w:rFonts w:asciiTheme="majorHAnsi" w:hAnsiTheme="majorHAnsi" w:cstheme="majorBidi"/>
      <w:b/>
      <w:bCs/>
      <w:sz w:val="30"/>
      <w:szCs w:val="32"/>
    </w:rPr>
  </w:style>
  <w:style w:type="paragraph" w:styleId="4">
    <w:name w:val="heading 3"/>
    <w:basedOn w:val="1"/>
    <w:next w:val="1"/>
    <w:link w:val="25"/>
    <w:unhideWhenUsed/>
    <w:qFormat/>
    <w:uiPriority w:val="9"/>
    <w:pPr>
      <w:keepNext/>
      <w:keepLines/>
      <w:numPr>
        <w:ilvl w:val="2"/>
        <w:numId w:val="1"/>
      </w:numPr>
      <w:spacing w:before="260" w:after="260" w:line="415" w:lineRule="auto"/>
      <w:ind w:left="0" w:hanging="250" w:hangingChars="250"/>
      <w:outlineLvl w:val="2"/>
    </w:pPr>
    <w:rPr>
      <w:b/>
      <w:bCs/>
      <w:szCs w:val="32"/>
    </w:rPr>
  </w:style>
  <w:style w:type="paragraph" w:styleId="5">
    <w:name w:val="heading 4"/>
    <w:basedOn w:val="1"/>
    <w:next w:val="1"/>
    <w:link w:val="26"/>
    <w:semiHidden/>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27"/>
    <w:semiHidden/>
    <w:unhideWhenUsed/>
    <w:qFormat/>
    <w:uiPriority w:val="9"/>
    <w:pPr>
      <w:keepNext/>
      <w:keepLines/>
      <w:numPr>
        <w:ilvl w:val="4"/>
        <w:numId w:val="1"/>
      </w:numPr>
      <w:spacing w:before="280" w:after="290" w:line="376" w:lineRule="auto"/>
      <w:outlineLvl w:val="4"/>
    </w:pPr>
    <w:rPr>
      <w:b/>
      <w:bCs/>
      <w:szCs w:val="28"/>
    </w:rPr>
  </w:style>
  <w:style w:type="paragraph" w:styleId="7">
    <w:name w:val="heading 6"/>
    <w:basedOn w:val="1"/>
    <w:next w:val="1"/>
    <w:link w:val="28"/>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next w:val="1"/>
    <w:link w:val="29"/>
    <w:semiHidden/>
    <w:unhideWhenUsed/>
    <w:qFormat/>
    <w:uiPriority w:val="9"/>
    <w:pPr>
      <w:keepNext/>
      <w:keepLines/>
      <w:numPr>
        <w:ilvl w:val="6"/>
        <w:numId w:val="1"/>
      </w:numPr>
      <w:spacing w:before="240" w:after="64" w:line="320" w:lineRule="auto"/>
      <w:outlineLvl w:val="6"/>
    </w:pPr>
    <w:rPr>
      <w:b/>
      <w:bCs/>
      <w:szCs w:val="24"/>
    </w:rPr>
  </w:style>
  <w:style w:type="paragraph" w:styleId="9">
    <w:name w:val="heading 8"/>
    <w:basedOn w:val="1"/>
    <w:next w:val="1"/>
    <w:link w:val="30"/>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next w:val="1"/>
    <w:link w:val="31"/>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 w:val="21"/>
      <w:szCs w:val="21"/>
    </w:rPr>
  </w:style>
  <w:style w:type="character" w:default="1" w:styleId="18">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11">
    <w:name w:val="toc 3"/>
    <w:basedOn w:val="1"/>
    <w:next w:val="1"/>
    <w:unhideWhenUsed/>
    <w:qFormat/>
    <w:uiPriority w:val="39"/>
    <w:pPr>
      <w:ind w:left="840" w:leftChars="400"/>
    </w:pPr>
  </w:style>
  <w:style w:type="paragraph" w:styleId="12">
    <w:name w:val="Date"/>
    <w:basedOn w:val="1"/>
    <w:next w:val="1"/>
    <w:link w:val="42"/>
    <w:semiHidden/>
    <w:unhideWhenUsed/>
    <w:qFormat/>
    <w:uiPriority w:val="99"/>
    <w:pPr>
      <w:ind w:left="100" w:leftChars="2500"/>
    </w:pPr>
  </w:style>
  <w:style w:type="paragraph" w:styleId="13">
    <w:name w:val="footer"/>
    <w:basedOn w:val="1"/>
    <w:link w:val="40"/>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3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unhideWhenUsed/>
    <w:qFormat/>
    <w:uiPriority w:val="39"/>
    <w:rPr>
      <w:b/>
    </w:rPr>
  </w:style>
  <w:style w:type="paragraph" w:styleId="16">
    <w:name w:val="toc 2"/>
    <w:basedOn w:val="1"/>
    <w:next w:val="1"/>
    <w:unhideWhenUsed/>
    <w:qFormat/>
    <w:uiPriority w:val="39"/>
    <w:pPr>
      <w:ind w:left="420" w:leftChars="200"/>
    </w:pPr>
  </w:style>
  <w:style w:type="paragraph" w:styleId="1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9">
    <w:name w:val="Strong"/>
    <w:basedOn w:val="18"/>
    <w:qFormat/>
    <w:uiPriority w:val="22"/>
    <w:rPr>
      <w:b/>
      <w:bCs/>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3">
    <w:name w:val="标题 1 Char"/>
    <w:basedOn w:val="18"/>
    <w:link w:val="2"/>
    <w:qFormat/>
    <w:uiPriority w:val="9"/>
    <w:rPr>
      <w:rFonts w:eastAsia="仿宋"/>
      <w:b/>
      <w:bCs/>
      <w:kern w:val="44"/>
      <w:sz w:val="32"/>
      <w:szCs w:val="44"/>
    </w:rPr>
  </w:style>
  <w:style w:type="character" w:customStyle="1" w:styleId="24">
    <w:name w:val="标题 2 Char"/>
    <w:basedOn w:val="18"/>
    <w:link w:val="3"/>
    <w:qFormat/>
    <w:uiPriority w:val="9"/>
    <w:rPr>
      <w:rFonts w:eastAsia="仿宋" w:asciiTheme="majorHAnsi" w:hAnsiTheme="majorHAnsi" w:cstheme="majorBidi"/>
      <w:b/>
      <w:bCs/>
      <w:sz w:val="30"/>
      <w:szCs w:val="32"/>
    </w:rPr>
  </w:style>
  <w:style w:type="character" w:customStyle="1" w:styleId="25">
    <w:name w:val="标题 3 Char"/>
    <w:basedOn w:val="18"/>
    <w:link w:val="4"/>
    <w:qFormat/>
    <w:uiPriority w:val="9"/>
    <w:rPr>
      <w:rFonts w:eastAsia="仿宋"/>
      <w:b/>
      <w:bCs/>
      <w:sz w:val="28"/>
      <w:szCs w:val="32"/>
    </w:rPr>
  </w:style>
  <w:style w:type="character" w:customStyle="1" w:styleId="26">
    <w:name w:val="标题 4 Char"/>
    <w:basedOn w:val="18"/>
    <w:link w:val="5"/>
    <w:semiHidden/>
    <w:qFormat/>
    <w:uiPriority w:val="9"/>
    <w:rPr>
      <w:rFonts w:asciiTheme="majorHAnsi" w:hAnsiTheme="majorHAnsi" w:eastAsiaTheme="majorEastAsia" w:cstheme="majorBidi"/>
      <w:b/>
      <w:bCs/>
      <w:sz w:val="28"/>
      <w:szCs w:val="28"/>
    </w:rPr>
  </w:style>
  <w:style w:type="character" w:customStyle="1" w:styleId="27">
    <w:name w:val="标题 5 Char"/>
    <w:basedOn w:val="18"/>
    <w:link w:val="6"/>
    <w:semiHidden/>
    <w:qFormat/>
    <w:uiPriority w:val="9"/>
    <w:rPr>
      <w:rFonts w:eastAsia="仿宋"/>
      <w:b/>
      <w:bCs/>
      <w:sz w:val="28"/>
      <w:szCs w:val="28"/>
    </w:rPr>
  </w:style>
  <w:style w:type="character" w:customStyle="1" w:styleId="28">
    <w:name w:val="标题 6 Char"/>
    <w:basedOn w:val="18"/>
    <w:link w:val="7"/>
    <w:semiHidden/>
    <w:qFormat/>
    <w:uiPriority w:val="9"/>
    <w:rPr>
      <w:rFonts w:asciiTheme="majorHAnsi" w:hAnsiTheme="majorHAnsi" w:eastAsiaTheme="majorEastAsia" w:cstheme="majorBidi"/>
      <w:b/>
      <w:bCs/>
      <w:sz w:val="24"/>
      <w:szCs w:val="24"/>
    </w:rPr>
  </w:style>
  <w:style w:type="character" w:customStyle="1" w:styleId="29">
    <w:name w:val="标题 7 Char"/>
    <w:basedOn w:val="18"/>
    <w:link w:val="8"/>
    <w:semiHidden/>
    <w:qFormat/>
    <w:uiPriority w:val="9"/>
    <w:rPr>
      <w:rFonts w:eastAsia="仿宋"/>
      <w:b/>
      <w:bCs/>
      <w:sz w:val="24"/>
      <w:szCs w:val="24"/>
    </w:rPr>
  </w:style>
  <w:style w:type="character" w:customStyle="1" w:styleId="30">
    <w:name w:val="标题 8 Char"/>
    <w:basedOn w:val="18"/>
    <w:link w:val="9"/>
    <w:semiHidden/>
    <w:qFormat/>
    <w:uiPriority w:val="9"/>
    <w:rPr>
      <w:rFonts w:asciiTheme="majorHAnsi" w:hAnsiTheme="majorHAnsi" w:eastAsiaTheme="majorEastAsia" w:cstheme="majorBidi"/>
      <w:sz w:val="24"/>
      <w:szCs w:val="24"/>
    </w:rPr>
  </w:style>
  <w:style w:type="character" w:customStyle="1" w:styleId="31">
    <w:name w:val="标题 9 Char"/>
    <w:basedOn w:val="18"/>
    <w:link w:val="10"/>
    <w:semiHidden/>
    <w:qFormat/>
    <w:uiPriority w:val="9"/>
    <w:rPr>
      <w:rFonts w:asciiTheme="majorHAnsi" w:hAnsiTheme="majorHAnsi" w:eastAsiaTheme="majorEastAsia" w:cstheme="majorBidi"/>
      <w:szCs w:val="21"/>
    </w:rPr>
  </w:style>
  <w:style w:type="paragraph" w:styleId="32">
    <w:name w:val="List Paragraph"/>
    <w:basedOn w:val="1"/>
    <w:qFormat/>
    <w:uiPriority w:val="34"/>
    <w:pPr>
      <w:ind w:firstLine="420"/>
    </w:pPr>
  </w:style>
  <w:style w:type="paragraph" w:customStyle="1" w:styleId="33">
    <w:name w:val="普通分项"/>
    <w:basedOn w:val="1"/>
    <w:link w:val="35"/>
    <w:qFormat/>
    <w:uiPriority w:val="0"/>
    <w:pPr>
      <w:numPr>
        <w:ilvl w:val="0"/>
        <w:numId w:val="2"/>
      </w:numPr>
      <w:ind w:left="0" w:firstLine="200"/>
    </w:pPr>
    <w:rPr>
      <w:b/>
    </w:rPr>
  </w:style>
  <w:style w:type="paragraph" w:customStyle="1" w:styleId="34">
    <w:name w:val="固定分项"/>
    <w:basedOn w:val="1"/>
    <w:link w:val="37"/>
    <w:qFormat/>
    <w:uiPriority w:val="0"/>
    <w:pPr>
      <w:numPr>
        <w:ilvl w:val="0"/>
        <w:numId w:val="3"/>
      </w:numPr>
      <w:spacing w:line="480" w:lineRule="auto"/>
      <w:ind w:left="0" w:firstLine="200"/>
    </w:pPr>
    <w:rPr>
      <w:b/>
    </w:rPr>
  </w:style>
  <w:style w:type="character" w:customStyle="1" w:styleId="35">
    <w:name w:val="普通分项 Char"/>
    <w:basedOn w:val="18"/>
    <w:link w:val="33"/>
    <w:qFormat/>
    <w:uiPriority w:val="0"/>
    <w:rPr>
      <w:rFonts w:eastAsia="仿宋"/>
      <w:b/>
      <w:sz w:val="24"/>
    </w:rPr>
  </w:style>
  <w:style w:type="paragraph" w:customStyle="1" w:styleId="36">
    <w:name w:val="普通编号"/>
    <w:basedOn w:val="1"/>
    <w:link w:val="38"/>
    <w:qFormat/>
    <w:uiPriority w:val="0"/>
    <w:pPr>
      <w:numPr>
        <w:ilvl w:val="0"/>
        <w:numId w:val="4"/>
      </w:numPr>
      <w:ind w:left="0" w:firstLine="200"/>
    </w:pPr>
  </w:style>
  <w:style w:type="character" w:customStyle="1" w:styleId="37">
    <w:name w:val="固定分项 Char"/>
    <w:basedOn w:val="18"/>
    <w:link w:val="34"/>
    <w:qFormat/>
    <w:uiPriority w:val="0"/>
    <w:rPr>
      <w:rFonts w:eastAsia="仿宋"/>
      <w:b/>
      <w:sz w:val="24"/>
    </w:rPr>
  </w:style>
  <w:style w:type="character" w:customStyle="1" w:styleId="38">
    <w:name w:val="普通编号 Char"/>
    <w:basedOn w:val="18"/>
    <w:link w:val="36"/>
    <w:qFormat/>
    <w:uiPriority w:val="0"/>
    <w:rPr>
      <w:rFonts w:eastAsia="仿宋"/>
      <w:sz w:val="24"/>
    </w:rPr>
  </w:style>
  <w:style w:type="character" w:customStyle="1" w:styleId="39">
    <w:name w:val="页眉 Char"/>
    <w:basedOn w:val="18"/>
    <w:link w:val="14"/>
    <w:qFormat/>
    <w:uiPriority w:val="99"/>
    <w:rPr>
      <w:rFonts w:eastAsia="仿宋"/>
      <w:sz w:val="18"/>
      <w:szCs w:val="18"/>
    </w:rPr>
  </w:style>
  <w:style w:type="character" w:customStyle="1" w:styleId="40">
    <w:name w:val="页脚 Char"/>
    <w:basedOn w:val="18"/>
    <w:link w:val="13"/>
    <w:qFormat/>
    <w:uiPriority w:val="99"/>
    <w:rPr>
      <w:rFonts w:eastAsia="仿宋"/>
      <w:sz w:val="18"/>
      <w:szCs w:val="18"/>
    </w:rPr>
  </w:style>
  <w:style w:type="paragraph" w:customStyle="1" w:styleId="41">
    <w:name w:val="TOC Heading"/>
    <w:basedOn w:val="2"/>
    <w:next w:val="1"/>
    <w:unhideWhenUsed/>
    <w:qFormat/>
    <w:uiPriority w:val="39"/>
    <w:pPr>
      <w:widowControl/>
      <w:numPr>
        <w:numId w:val="0"/>
      </w:numPr>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character" w:customStyle="1" w:styleId="42">
    <w:name w:val="日期 Char"/>
    <w:basedOn w:val="18"/>
    <w:link w:val="12"/>
    <w:semiHidden/>
    <w:qFormat/>
    <w:uiPriority w:val="99"/>
    <w:rPr>
      <w:rFonts w:eastAsia="华文仿宋"/>
      <w:sz w:val="24"/>
    </w:rPr>
  </w:style>
  <w:style w:type="paragraph" w:customStyle="1" w:styleId="43">
    <w:name w:val="表格单元"/>
    <w:basedOn w:val="1"/>
    <w:link w:val="45"/>
    <w:qFormat/>
    <w:uiPriority w:val="0"/>
    <w:pPr>
      <w:adjustRightInd w:val="0"/>
      <w:snapToGrid w:val="0"/>
      <w:spacing w:before="45" w:beforeLines="50" w:after="45" w:afterLines="50"/>
    </w:pPr>
    <w:rPr>
      <w:rFonts w:ascii="宋体" w:hAnsi="Times New Roman" w:eastAsia="宋体" w:cs="Times New Roman"/>
      <w:sz w:val="21"/>
      <w:szCs w:val="24"/>
    </w:rPr>
  </w:style>
  <w:style w:type="paragraph" w:customStyle="1" w:styleId="44">
    <w:name w:val="表格栏目"/>
    <w:basedOn w:val="1"/>
    <w:qFormat/>
    <w:uiPriority w:val="0"/>
    <w:pPr>
      <w:spacing w:before="45" w:beforeLines="50" w:after="45" w:afterLines="50"/>
      <w:jc w:val="center"/>
    </w:pPr>
    <w:rPr>
      <w:rFonts w:ascii="宋体" w:hAnsi="Times New Roman" w:eastAsia="黑体" w:cs="Times New Roman"/>
      <w:b/>
      <w:bCs/>
      <w:sz w:val="21"/>
      <w:szCs w:val="24"/>
    </w:rPr>
  </w:style>
  <w:style w:type="character" w:customStyle="1" w:styleId="45">
    <w:name w:val="表格单元 Char"/>
    <w:link w:val="43"/>
    <w:qFormat/>
    <w:uiPriority w:val="0"/>
    <w:rPr>
      <w:rFonts w:ascii="宋体" w:hAnsi="Times New Roman" w:eastAsia="宋体" w:cs="Times New Roman"/>
      <w:szCs w:val="24"/>
    </w:rPr>
  </w:style>
  <w:style w:type="paragraph" w:customStyle="1" w:styleId="46">
    <w:name w:val="WPSOffice手动目录 1"/>
    <w:qFormat/>
    <w:uiPriority w:val="0"/>
    <w:pPr>
      <w:ind w:leftChars="0"/>
    </w:pPr>
    <w:rPr>
      <w:rFonts w:asciiTheme="minorHAnsi" w:hAnsiTheme="minorHAnsi" w:eastAsiaTheme="minorEastAsia" w:cstheme="minorBidi"/>
      <w:sz w:val="20"/>
      <w:szCs w:val="20"/>
    </w:rPr>
  </w:style>
  <w:style w:type="paragraph" w:customStyle="1" w:styleId="47">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01.Projects\CountInsurance\trunk\04.Document\01.&#38656;&#27714;&#25991;&#26723;\&#26131;&#20445;&#38656;&#27714;\&#26131;&#20445;&#32593;&#38656;&#27714;&#20998;&#26512;-&#21345;&#21333;&#31867;&#20135;&#2169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100"/>
    <customShpInfo spid="_x0000_s4101"/>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487FBE-0050-4678-9695-C128D4E5D8F9}">
  <ds:schemaRefs/>
</ds:datastoreItem>
</file>

<file path=docProps/app.xml><?xml version="1.0" encoding="utf-8"?>
<Properties xmlns="http://schemas.openxmlformats.org/officeDocument/2006/extended-properties" xmlns:vt="http://schemas.openxmlformats.org/officeDocument/2006/docPropsVTypes">
  <Template>易保网需求分析-卡单类产品</Template>
  <Pages>24</Pages>
  <Words>1757</Words>
  <Characters>10016</Characters>
  <Lines>83</Lines>
  <Paragraphs>23</Paragraphs>
  <TotalTime>8</TotalTime>
  <ScaleCrop>false</ScaleCrop>
  <LinksUpToDate>false</LinksUpToDate>
  <CharactersWithSpaces>11750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2016-05-18T10:44:00Z</dcterms:created>
  <dc:creator>青岛康特网络科技有限公司</dc:creator>
  <cp:lastModifiedBy>Lenovo</cp:lastModifiedBy>
  <cp:lastPrinted>2016-05-04T10:16:00Z</cp:lastPrinted>
  <dcterms:modified xsi:type="dcterms:W3CDTF">2018-12-20T07:11:06Z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